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2AB2" w:rsidRPr="00475789" w:rsidRDefault="00073EEA" w:rsidP="00EF641A">
      <w:pPr>
        <w:widowControl/>
        <w:ind w:hanging="990"/>
        <w:rPr>
          <w:b/>
          <w:iCs/>
          <w:sz w:val="40"/>
          <w:szCs w:val="40"/>
          <w:lang w:val="en-GB"/>
        </w:rPr>
      </w:pPr>
      <w:bookmarkStart w:id="0" w:name="_Toc322870637"/>
      <w:bookmarkStart w:id="1" w:name="_Toc322870647"/>
      <w:r w:rsidRPr="00073EEA">
        <w:rPr>
          <w:noProof/>
          <w:lang w:eastAsia="en-US"/>
        </w:rPr>
        <w:pict>
          <v:shapetype id="_x0000_t202" coordsize="21600,21600" o:spt="202" path="m,l,21600r21600,l21600,xe">
            <v:stroke joinstyle="miter"/>
            <v:path gradientshapeok="t" o:connecttype="rect"/>
          </v:shapetype>
          <v:shape id="_x0000_s1169" type="#_x0000_t202" style="position:absolute;margin-left:482.85pt;margin-top:-219.7pt;width:103.95pt;height:15pt;z-index:251709440;mso-width-relative:margin;mso-height-relative:margin" filled="f" stroked="f" strokecolor="silver">
            <v:textbox>
              <w:txbxContent>
                <w:p w:rsidR="00856114" w:rsidRPr="0068310D" w:rsidRDefault="00856114" w:rsidP="0068310D">
                  <w:pPr>
                    <w:rPr>
                      <w:color w:val="FFFFFF" w:themeColor="background1"/>
                      <w:sz w:val="12"/>
                      <w:szCs w:val="12"/>
                    </w:rPr>
                  </w:pPr>
                  <w:r w:rsidRPr="0068310D">
                    <w:rPr>
                      <w:color w:val="FFFFFF" w:themeColor="background1"/>
                      <w:sz w:val="12"/>
                      <w:szCs w:val="12"/>
                    </w:rPr>
                    <w:t>© Gonzalez Thierry / TOTAL</w:t>
                  </w:r>
                </w:p>
              </w:txbxContent>
            </v:textbox>
          </v:shape>
        </w:pict>
      </w:r>
      <w:r w:rsidRPr="00073EEA">
        <w:rPr>
          <w:noProof/>
          <w:lang w:eastAsia="en-US"/>
        </w:rPr>
        <w:pict>
          <v:shape id="_x0000_s1170" type="#_x0000_t202" style="position:absolute;margin-left:131.9pt;margin-top:-95.65pt;width:103.95pt;height:20.75pt;z-index:251710464;mso-width-relative:margin;mso-height-relative:margin" filled="f" stroked="f" strokecolor="silver">
            <v:textbox>
              <w:txbxContent>
                <w:p w:rsidR="00856114" w:rsidRPr="0068310D" w:rsidRDefault="00856114" w:rsidP="0068310D">
                  <w:r w:rsidRPr="0068310D">
                    <w:t xml:space="preserve">Sponsored by: </w:t>
                  </w:r>
                </w:p>
              </w:txbxContent>
            </v:textbox>
          </v:shape>
        </w:pict>
      </w:r>
      <w:r w:rsidR="0068310D">
        <w:rPr>
          <w:noProof/>
          <w:lang w:val="fr-FR" w:eastAsia="zh-CN"/>
        </w:rPr>
        <w:drawing>
          <wp:anchor distT="0" distB="0" distL="114300" distR="114300" simplePos="0" relativeHeight="251708416" behindDoc="0" locked="0" layoutInCell="1" allowOverlap="1">
            <wp:simplePos x="0" y="0"/>
            <wp:positionH relativeFrom="column">
              <wp:posOffset>555078</wp:posOffset>
            </wp:positionH>
            <wp:positionV relativeFrom="paragraph">
              <wp:posOffset>-1178253</wp:posOffset>
            </wp:positionV>
            <wp:extent cx="3149819" cy="993227"/>
            <wp:effectExtent l="19050" t="0" r="0" b="0"/>
            <wp:wrapNone/>
            <wp:docPr id="22" name="Picture 12" descr="C:\Users\gsudhakar\AppData\Local\Microsoft\Windows\Temporary Internet Files\Content.Word\Logo_To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sudhakar\AppData\Local\Microsoft\Windows\Temporary Internet Files\Content.Word\Logo_Total.png"/>
                    <pic:cNvPicPr>
                      <a:picLocks noChangeAspect="1" noChangeArrowheads="1"/>
                    </pic:cNvPicPr>
                  </pic:nvPicPr>
                  <pic:blipFill>
                    <a:blip r:embed="rId8" cstate="print"/>
                    <a:srcRect/>
                    <a:stretch>
                      <a:fillRect/>
                    </a:stretch>
                  </pic:blipFill>
                  <pic:spPr bwMode="auto">
                    <a:xfrm>
                      <a:off x="0" y="0"/>
                      <a:ext cx="3149819" cy="993227"/>
                    </a:xfrm>
                    <a:prstGeom prst="rect">
                      <a:avLst/>
                    </a:prstGeom>
                    <a:noFill/>
                    <a:ln w="9525">
                      <a:noFill/>
                      <a:miter lim="800000"/>
                      <a:headEnd/>
                      <a:tailEnd/>
                    </a:ln>
                  </pic:spPr>
                </pic:pic>
              </a:graphicData>
            </a:graphic>
          </wp:anchor>
        </w:drawing>
      </w:r>
    </w:p>
    <w:p w:rsidR="005573C5" w:rsidRDefault="00296B75" w:rsidP="006F3A55">
      <w:pPr>
        <w:jc w:val="center"/>
        <w:rPr>
          <w:b/>
          <w:iCs/>
          <w:sz w:val="27"/>
          <w:lang w:val="en-GB"/>
        </w:rPr>
        <w:sectPr w:rsidR="005573C5" w:rsidSect="00296B75">
          <w:pgSz w:w="12240" w:h="15840" w:code="1"/>
          <w:pgMar w:top="-236" w:right="0" w:bottom="0" w:left="0" w:header="0" w:footer="0" w:gutter="0"/>
          <w:cols w:space="720"/>
          <w:docGrid w:linePitch="272"/>
        </w:sectPr>
      </w:pPr>
      <w:r>
        <w:rPr>
          <w:b/>
          <w:iCs/>
          <w:noProof/>
          <w:sz w:val="27"/>
          <w:lang w:val="fr-FR" w:eastAsia="zh-CN"/>
        </w:rPr>
        <w:lastRenderedPageBreak/>
        <w:drawing>
          <wp:anchor distT="0" distB="0" distL="114300" distR="114300" simplePos="0" relativeHeight="251646973" behindDoc="0" locked="0" layoutInCell="1" allowOverlap="1">
            <wp:simplePos x="0" y="0"/>
            <wp:positionH relativeFrom="column">
              <wp:posOffset>20955</wp:posOffset>
            </wp:positionH>
            <wp:positionV relativeFrom="paragraph">
              <wp:posOffset>-149860</wp:posOffset>
            </wp:positionV>
            <wp:extent cx="7770012" cy="10058400"/>
            <wp:effectExtent l="19050" t="0" r="2388" b="0"/>
            <wp:wrapSquare wrapText="bothSides"/>
            <wp:docPr id="11" name="Picture 8" descr="G:\GlobalGas_NEW_\Client Companies\International Gas Union\2013 World LNG Report\Pictures\Plateforme2_216x279_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lobalGas_NEW_\Client Companies\International Gas Union\2013 World LNG Report\Pictures\Plateforme2_216x279_UK.JPG"/>
                    <pic:cNvPicPr>
                      <a:picLocks noChangeAspect="1" noChangeArrowheads="1"/>
                    </pic:cNvPicPr>
                  </pic:nvPicPr>
                  <pic:blipFill>
                    <a:blip r:embed="rId9" cstate="print"/>
                    <a:srcRect/>
                    <a:stretch>
                      <a:fillRect/>
                    </a:stretch>
                  </pic:blipFill>
                  <pic:spPr bwMode="auto">
                    <a:xfrm>
                      <a:off x="0" y="0"/>
                      <a:ext cx="7770012" cy="10058400"/>
                    </a:xfrm>
                    <a:prstGeom prst="rect">
                      <a:avLst/>
                    </a:prstGeom>
                    <a:noFill/>
                    <a:ln w="9525">
                      <a:noFill/>
                      <a:miter lim="800000"/>
                      <a:headEnd/>
                      <a:tailEnd/>
                    </a:ln>
                  </pic:spPr>
                </pic:pic>
              </a:graphicData>
            </a:graphic>
          </wp:anchor>
        </w:drawing>
      </w:r>
    </w:p>
    <w:p w:rsidR="009E2AB2" w:rsidRDefault="009E2AB2">
      <w:pPr>
        <w:widowControl/>
        <w:rPr>
          <w:iCs/>
          <w:color w:val="215A99"/>
          <w:sz w:val="27"/>
          <w:szCs w:val="27"/>
          <w:lang w:val="en-GB"/>
        </w:rPr>
        <w:sectPr w:rsidR="009E2AB2" w:rsidSect="00237EF0">
          <w:headerReference w:type="default" r:id="rId10"/>
          <w:pgSz w:w="12240" w:h="15840" w:code="1"/>
          <w:pgMar w:top="1728" w:right="1080" w:bottom="1080" w:left="1008" w:header="576" w:footer="504" w:gutter="0"/>
          <w:cols w:space="720"/>
          <w:docGrid w:linePitch="272"/>
        </w:sectPr>
      </w:pPr>
    </w:p>
    <w:sdt>
      <w:sdtPr>
        <w:rPr>
          <w:rFonts w:ascii="Arial" w:eastAsia="SimSun" w:hAnsi="Arial" w:cs="Times New Roman"/>
          <w:b w:val="0"/>
          <w:bCs w:val="0"/>
          <w:color w:val="auto"/>
          <w:sz w:val="20"/>
          <w:szCs w:val="20"/>
          <w:lang w:eastAsia="fr-FR"/>
        </w:rPr>
        <w:id w:val="2114309615"/>
        <w:docPartObj>
          <w:docPartGallery w:val="Table of Contents"/>
          <w:docPartUnique/>
        </w:docPartObj>
      </w:sdtPr>
      <w:sdtContent>
        <w:p w:rsidR="00627EEA" w:rsidRPr="00DF69D1" w:rsidRDefault="00627EEA">
          <w:pPr>
            <w:pStyle w:val="En-ttedetabledesmatires"/>
            <w:rPr>
              <w:rFonts w:ascii="Arial" w:hAnsi="Arial" w:cs="Arial"/>
              <w:color w:val="auto"/>
              <w:sz w:val="24"/>
              <w:szCs w:val="24"/>
            </w:rPr>
          </w:pPr>
          <w:r w:rsidRPr="00DF69D1">
            <w:rPr>
              <w:rFonts w:ascii="Arial" w:hAnsi="Arial" w:cs="Arial"/>
              <w:color w:val="auto"/>
              <w:sz w:val="24"/>
              <w:szCs w:val="24"/>
            </w:rPr>
            <w:t>Table of Contents</w:t>
          </w:r>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r w:rsidRPr="00073EEA">
            <w:rPr>
              <w:rFonts w:ascii="Arial" w:hAnsi="Arial" w:cs="Arial"/>
              <w:sz w:val="24"/>
              <w:szCs w:val="24"/>
            </w:rPr>
            <w:fldChar w:fldCharType="begin"/>
          </w:r>
          <w:r w:rsidR="00627EEA" w:rsidRPr="00DF69D1">
            <w:rPr>
              <w:rFonts w:ascii="Arial" w:hAnsi="Arial" w:cs="Arial"/>
              <w:sz w:val="24"/>
              <w:szCs w:val="24"/>
            </w:rPr>
            <w:instrText xml:space="preserve"> TOC \o "1-3" \h \z \u </w:instrText>
          </w:r>
          <w:r w:rsidRPr="00073EEA">
            <w:rPr>
              <w:rFonts w:ascii="Arial" w:hAnsi="Arial" w:cs="Arial"/>
              <w:sz w:val="24"/>
              <w:szCs w:val="24"/>
            </w:rPr>
            <w:fldChar w:fldCharType="separate"/>
          </w:r>
          <w:hyperlink w:anchor="_Toc360628225" w:history="1">
            <w:r w:rsidR="001B4F37" w:rsidRPr="00917E1D">
              <w:rPr>
                <w:rStyle w:val="Lienhypertexte"/>
                <w:noProof/>
              </w:rPr>
              <w:t>1.  Message from Chairman of the International Gas Union</w:t>
            </w:r>
            <w:r w:rsidR="001B4F37">
              <w:rPr>
                <w:noProof/>
                <w:webHidden/>
              </w:rPr>
              <w:tab/>
            </w:r>
            <w:r>
              <w:rPr>
                <w:noProof/>
                <w:webHidden/>
              </w:rPr>
              <w:fldChar w:fldCharType="begin"/>
            </w:r>
            <w:r w:rsidR="001B4F37">
              <w:rPr>
                <w:noProof/>
                <w:webHidden/>
              </w:rPr>
              <w:instrText xml:space="preserve"> PAGEREF _Toc360628225 \h </w:instrText>
            </w:r>
            <w:r>
              <w:rPr>
                <w:noProof/>
                <w:webHidden/>
              </w:rPr>
            </w:r>
            <w:r>
              <w:rPr>
                <w:noProof/>
                <w:webHidden/>
              </w:rPr>
              <w:fldChar w:fldCharType="separate"/>
            </w:r>
            <w:r w:rsidR="001B4F37">
              <w:rPr>
                <w:noProof/>
                <w:webHidden/>
              </w:rPr>
              <w:t>5</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26" w:history="1">
            <w:r w:rsidR="001B4F37" w:rsidRPr="00917E1D">
              <w:rPr>
                <w:rStyle w:val="Lienhypertexte"/>
                <w:noProof/>
              </w:rPr>
              <w:t>2.  State of the LNG Industry</w:t>
            </w:r>
            <w:r w:rsidR="001B4F37">
              <w:rPr>
                <w:noProof/>
                <w:webHidden/>
              </w:rPr>
              <w:tab/>
            </w:r>
            <w:r>
              <w:rPr>
                <w:noProof/>
                <w:webHidden/>
              </w:rPr>
              <w:fldChar w:fldCharType="begin"/>
            </w:r>
            <w:r w:rsidR="001B4F37">
              <w:rPr>
                <w:noProof/>
                <w:webHidden/>
              </w:rPr>
              <w:instrText xml:space="preserve"> PAGEREF _Toc360628226 \h </w:instrText>
            </w:r>
            <w:r>
              <w:rPr>
                <w:noProof/>
                <w:webHidden/>
              </w:rPr>
            </w:r>
            <w:r>
              <w:rPr>
                <w:noProof/>
                <w:webHidden/>
              </w:rPr>
              <w:fldChar w:fldCharType="separate"/>
            </w:r>
            <w:r w:rsidR="001B4F37">
              <w:rPr>
                <w:noProof/>
                <w:webHidden/>
              </w:rPr>
              <w:t>7</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27" w:history="1">
            <w:r w:rsidR="001B4F37" w:rsidRPr="00917E1D">
              <w:rPr>
                <w:rStyle w:val="Lienhypertexte"/>
                <w:iCs/>
                <w:noProof/>
                <w:lang w:val="en-GB"/>
              </w:rPr>
              <w:t>3.  LNG Imports, Exports and Prices</w:t>
            </w:r>
            <w:r w:rsidR="001B4F37">
              <w:rPr>
                <w:noProof/>
                <w:webHidden/>
              </w:rPr>
              <w:tab/>
            </w:r>
            <w:r>
              <w:rPr>
                <w:noProof/>
                <w:webHidden/>
              </w:rPr>
              <w:fldChar w:fldCharType="begin"/>
            </w:r>
            <w:r w:rsidR="001B4F37">
              <w:rPr>
                <w:noProof/>
                <w:webHidden/>
              </w:rPr>
              <w:instrText xml:space="preserve"> PAGEREF _Toc360628227 \h </w:instrText>
            </w:r>
            <w:r>
              <w:rPr>
                <w:noProof/>
                <w:webHidden/>
              </w:rPr>
            </w:r>
            <w:r>
              <w:rPr>
                <w:noProof/>
                <w:webHidden/>
              </w:rPr>
              <w:fldChar w:fldCharType="separate"/>
            </w:r>
            <w:r w:rsidR="001B4F37">
              <w:rPr>
                <w:noProof/>
                <w:webHidden/>
              </w:rPr>
              <w:t>8</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28" w:history="1">
            <w:r w:rsidR="001B4F37" w:rsidRPr="00917E1D">
              <w:rPr>
                <w:rStyle w:val="Lienhypertexte"/>
                <w:noProof/>
                <w:lang w:val="en-GB"/>
              </w:rPr>
              <w:t>3.1. OVERVIEW</w:t>
            </w:r>
            <w:r w:rsidR="001B4F37">
              <w:rPr>
                <w:noProof/>
                <w:webHidden/>
              </w:rPr>
              <w:tab/>
            </w:r>
            <w:r>
              <w:rPr>
                <w:noProof/>
                <w:webHidden/>
              </w:rPr>
              <w:fldChar w:fldCharType="begin"/>
            </w:r>
            <w:r w:rsidR="001B4F37">
              <w:rPr>
                <w:noProof/>
                <w:webHidden/>
              </w:rPr>
              <w:instrText xml:space="preserve"> PAGEREF _Toc360628228 \h </w:instrText>
            </w:r>
            <w:r>
              <w:rPr>
                <w:noProof/>
                <w:webHidden/>
              </w:rPr>
            </w:r>
            <w:r>
              <w:rPr>
                <w:noProof/>
                <w:webHidden/>
              </w:rPr>
              <w:fldChar w:fldCharType="separate"/>
            </w:r>
            <w:r w:rsidR="001B4F37">
              <w:rPr>
                <w:noProof/>
                <w:webHidden/>
              </w:rPr>
              <w:t>8</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29" w:history="1">
            <w:r w:rsidR="001B4F37" w:rsidRPr="00917E1D">
              <w:rPr>
                <w:rStyle w:val="Lienhypertexte"/>
                <w:noProof/>
                <w:lang w:val="en-GB"/>
              </w:rPr>
              <w:t>3.2. LNG EXPORTS BY COUNTRY</w:t>
            </w:r>
            <w:r w:rsidR="001B4F37">
              <w:rPr>
                <w:noProof/>
                <w:webHidden/>
              </w:rPr>
              <w:tab/>
            </w:r>
            <w:r>
              <w:rPr>
                <w:noProof/>
                <w:webHidden/>
              </w:rPr>
              <w:fldChar w:fldCharType="begin"/>
            </w:r>
            <w:r w:rsidR="001B4F37">
              <w:rPr>
                <w:noProof/>
                <w:webHidden/>
              </w:rPr>
              <w:instrText xml:space="preserve"> PAGEREF _Toc360628229 \h </w:instrText>
            </w:r>
            <w:r>
              <w:rPr>
                <w:noProof/>
                <w:webHidden/>
              </w:rPr>
            </w:r>
            <w:r>
              <w:rPr>
                <w:noProof/>
                <w:webHidden/>
              </w:rPr>
              <w:fldChar w:fldCharType="separate"/>
            </w:r>
            <w:r w:rsidR="001B4F37">
              <w:rPr>
                <w:noProof/>
                <w:webHidden/>
              </w:rPr>
              <w:t>9</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0" w:history="1">
            <w:r w:rsidR="001B4F37" w:rsidRPr="00917E1D">
              <w:rPr>
                <w:rStyle w:val="Lienhypertexte"/>
                <w:noProof/>
                <w:lang w:val="en-GB"/>
              </w:rPr>
              <w:t>3.3. LNG IMPORTS BY COUNTRY</w:t>
            </w:r>
            <w:r w:rsidR="001B4F37">
              <w:rPr>
                <w:noProof/>
                <w:webHidden/>
              </w:rPr>
              <w:tab/>
            </w:r>
            <w:r>
              <w:rPr>
                <w:noProof/>
                <w:webHidden/>
              </w:rPr>
              <w:fldChar w:fldCharType="begin"/>
            </w:r>
            <w:r w:rsidR="001B4F37">
              <w:rPr>
                <w:noProof/>
                <w:webHidden/>
              </w:rPr>
              <w:instrText xml:space="preserve"> PAGEREF _Toc360628230 \h </w:instrText>
            </w:r>
            <w:r>
              <w:rPr>
                <w:noProof/>
                <w:webHidden/>
              </w:rPr>
            </w:r>
            <w:r>
              <w:rPr>
                <w:noProof/>
                <w:webHidden/>
              </w:rPr>
              <w:fldChar w:fldCharType="separate"/>
            </w:r>
            <w:r w:rsidR="001B4F37">
              <w:rPr>
                <w:noProof/>
                <w:webHidden/>
              </w:rPr>
              <w:t>10</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1" w:history="1">
            <w:r w:rsidR="001B4F37" w:rsidRPr="00917E1D">
              <w:rPr>
                <w:rStyle w:val="Lienhypertexte"/>
                <w:noProof/>
                <w:lang w:val="en-GB"/>
              </w:rPr>
              <w:t>3.4. LNG INTERREGIONAL TRADE</w:t>
            </w:r>
            <w:r w:rsidR="001B4F37">
              <w:rPr>
                <w:noProof/>
                <w:webHidden/>
              </w:rPr>
              <w:tab/>
            </w:r>
            <w:r>
              <w:rPr>
                <w:noProof/>
                <w:webHidden/>
              </w:rPr>
              <w:fldChar w:fldCharType="begin"/>
            </w:r>
            <w:r w:rsidR="001B4F37">
              <w:rPr>
                <w:noProof/>
                <w:webHidden/>
              </w:rPr>
              <w:instrText xml:space="preserve"> PAGEREF _Toc360628231 \h </w:instrText>
            </w:r>
            <w:r>
              <w:rPr>
                <w:noProof/>
                <w:webHidden/>
              </w:rPr>
            </w:r>
            <w:r>
              <w:rPr>
                <w:noProof/>
                <w:webHidden/>
              </w:rPr>
              <w:fldChar w:fldCharType="separate"/>
            </w:r>
            <w:r w:rsidR="001B4F37">
              <w:rPr>
                <w:noProof/>
                <w:webHidden/>
              </w:rPr>
              <w:t>12</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2" w:history="1">
            <w:r w:rsidR="001B4F37" w:rsidRPr="00917E1D">
              <w:rPr>
                <w:rStyle w:val="Lienhypertexte"/>
                <w:noProof/>
                <w:lang w:val="en-GB"/>
              </w:rPr>
              <w:t>3.5. LNG SPOT AND SHORT-TERM MARKET</w:t>
            </w:r>
            <w:r w:rsidR="001B4F37">
              <w:rPr>
                <w:noProof/>
                <w:webHidden/>
              </w:rPr>
              <w:tab/>
            </w:r>
            <w:r>
              <w:rPr>
                <w:noProof/>
                <w:webHidden/>
              </w:rPr>
              <w:fldChar w:fldCharType="begin"/>
            </w:r>
            <w:r w:rsidR="001B4F37">
              <w:rPr>
                <w:noProof/>
                <w:webHidden/>
              </w:rPr>
              <w:instrText xml:space="preserve"> PAGEREF _Toc360628232 \h </w:instrText>
            </w:r>
            <w:r>
              <w:rPr>
                <w:noProof/>
                <w:webHidden/>
              </w:rPr>
            </w:r>
            <w:r>
              <w:rPr>
                <w:noProof/>
                <w:webHidden/>
              </w:rPr>
              <w:fldChar w:fldCharType="separate"/>
            </w:r>
            <w:r w:rsidR="001B4F37">
              <w:rPr>
                <w:noProof/>
                <w:webHidden/>
              </w:rPr>
              <w:t>13</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3" w:history="1">
            <w:r w:rsidR="001B4F37" w:rsidRPr="00917E1D">
              <w:rPr>
                <w:rStyle w:val="Lienhypertexte"/>
                <w:noProof/>
                <w:lang w:val="en-GB"/>
              </w:rPr>
              <w:t>3.6. LNG PRICING OVERVIEW</w:t>
            </w:r>
            <w:r w:rsidR="001B4F37">
              <w:rPr>
                <w:noProof/>
                <w:webHidden/>
              </w:rPr>
              <w:tab/>
            </w:r>
            <w:r>
              <w:rPr>
                <w:noProof/>
                <w:webHidden/>
              </w:rPr>
              <w:fldChar w:fldCharType="begin"/>
            </w:r>
            <w:r w:rsidR="001B4F37">
              <w:rPr>
                <w:noProof/>
                <w:webHidden/>
              </w:rPr>
              <w:instrText xml:space="preserve"> PAGEREF _Toc360628233 \h </w:instrText>
            </w:r>
            <w:r>
              <w:rPr>
                <w:noProof/>
                <w:webHidden/>
              </w:rPr>
            </w:r>
            <w:r>
              <w:rPr>
                <w:noProof/>
                <w:webHidden/>
              </w:rPr>
              <w:fldChar w:fldCharType="separate"/>
            </w:r>
            <w:r w:rsidR="001B4F37">
              <w:rPr>
                <w:noProof/>
                <w:webHidden/>
              </w:rPr>
              <w:t>14</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34" w:history="1">
            <w:r w:rsidR="001B4F37" w:rsidRPr="00917E1D">
              <w:rPr>
                <w:rStyle w:val="Lienhypertexte"/>
                <w:noProof/>
              </w:rPr>
              <w:t>4.  Liquefaction Plants</w:t>
            </w:r>
            <w:r w:rsidR="001B4F37">
              <w:rPr>
                <w:noProof/>
                <w:webHidden/>
              </w:rPr>
              <w:tab/>
            </w:r>
            <w:r>
              <w:rPr>
                <w:noProof/>
                <w:webHidden/>
              </w:rPr>
              <w:fldChar w:fldCharType="begin"/>
            </w:r>
            <w:r w:rsidR="001B4F37">
              <w:rPr>
                <w:noProof/>
                <w:webHidden/>
              </w:rPr>
              <w:instrText xml:space="preserve"> PAGEREF _Toc360628234 \h </w:instrText>
            </w:r>
            <w:r>
              <w:rPr>
                <w:noProof/>
                <w:webHidden/>
              </w:rPr>
            </w:r>
            <w:r>
              <w:rPr>
                <w:noProof/>
                <w:webHidden/>
              </w:rPr>
              <w:fldChar w:fldCharType="separate"/>
            </w:r>
            <w:r w:rsidR="001B4F37">
              <w:rPr>
                <w:noProof/>
                <w:webHidden/>
              </w:rPr>
              <w:t>16</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5" w:history="1">
            <w:r w:rsidR="001B4F37" w:rsidRPr="00917E1D">
              <w:rPr>
                <w:rStyle w:val="Lienhypertexte"/>
                <w:noProof/>
                <w:lang w:val="en-GB"/>
              </w:rPr>
              <w:t>4.1. OVERVIEW</w:t>
            </w:r>
            <w:r w:rsidR="001B4F37">
              <w:rPr>
                <w:noProof/>
                <w:webHidden/>
              </w:rPr>
              <w:tab/>
            </w:r>
            <w:r>
              <w:rPr>
                <w:noProof/>
                <w:webHidden/>
              </w:rPr>
              <w:fldChar w:fldCharType="begin"/>
            </w:r>
            <w:r w:rsidR="001B4F37">
              <w:rPr>
                <w:noProof/>
                <w:webHidden/>
              </w:rPr>
              <w:instrText xml:space="preserve"> PAGEREF _Toc360628235 \h </w:instrText>
            </w:r>
            <w:r>
              <w:rPr>
                <w:noProof/>
                <w:webHidden/>
              </w:rPr>
            </w:r>
            <w:r>
              <w:rPr>
                <w:noProof/>
                <w:webHidden/>
              </w:rPr>
              <w:fldChar w:fldCharType="separate"/>
            </w:r>
            <w:r w:rsidR="001B4F37">
              <w:rPr>
                <w:noProof/>
                <w:webHidden/>
              </w:rPr>
              <w:t>16</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6" w:history="1">
            <w:r w:rsidR="001B4F37" w:rsidRPr="00917E1D">
              <w:rPr>
                <w:rStyle w:val="Lienhypertexte"/>
                <w:noProof/>
                <w:lang w:val="en-GB"/>
              </w:rPr>
              <w:t>4.2 GLOBAL LIQUEFACTION CAPACITY AND UTILIZATION</w:t>
            </w:r>
            <w:r w:rsidR="001B4F37">
              <w:rPr>
                <w:noProof/>
                <w:webHidden/>
              </w:rPr>
              <w:tab/>
            </w:r>
            <w:r>
              <w:rPr>
                <w:noProof/>
                <w:webHidden/>
              </w:rPr>
              <w:fldChar w:fldCharType="begin"/>
            </w:r>
            <w:r w:rsidR="001B4F37">
              <w:rPr>
                <w:noProof/>
                <w:webHidden/>
              </w:rPr>
              <w:instrText xml:space="preserve"> PAGEREF _Toc360628236 \h </w:instrText>
            </w:r>
            <w:r>
              <w:rPr>
                <w:noProof/>
                <w:webHidden/>
              </w:rPr>
            </w:r>
            <w:r>
              <w:rPr>
                <w:noProof/>
                <w:webHidden/>
              </w:rPr>
              <w:fldChar w:fldCharType="separate"/>
            </w:r>
            <w:r w:rsidR="001B4F37">
              <w:rPr>
                <w:noProof/>
                <w:webHidden/>
              </w:rPr>
              <w:t>16</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7" w:history="1">
            <w:r w:rsidR="001B4F37" w:rsidRPr="00917E1D">
              <w:rPr>
                <w:rStyle w:val="Lienhypertexte"/>
                <w:noProof/>
                <w:lang w:val="en-GB"/>
              </w:rPr>
              <w:t>4.3 LIQUEFACTION CAPACITY AND UTILIZATION BY COUNTRY</w:t>
            </w:r>
            <w:r w:rsidR="001B4F37">
              <w:rPr>
                <w:noProof/>
                <w:webHidden/>
              </w:rPr>
              <w:tab/>
            </w:r>
            <w:r>
              <w:rPr>
                <w:noProof/>
                <w:webHidden/>
              </w:rPr>
              <w:fldChar w:fldCharType="begin"/>
            </w:r>
            <w:r w:rsidR="001B4F37">
              <w:rPr>
                <w:noProof/>
                <w:webHidden/>
              </w:rPr>
              <w:instrText xml:space="preserve"> PAGEREF _Toc360628237 \h </w:instrText>
            </w:r>
            <w:r>
              <w:rPr>
                <w:noProof/>
                <w:webHidden/>
              </w:rPr>
            </w:r>
            <w:r>
              <w:rPr>
                <w:noProof/>
                <w:webHidden/>
              </w:rPr>
              <w:fldChar w:fldCharType="separate"/>
            </w:r>
            <w:r w:rsidR="001B4F37">
              <w:rPr>
                <w:noProof/>
                <w:webHidden/>
              </w:rPr>
              <w:t>17</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8" w:history="1">
            <w:r w:rsidR="001B4F37" w:rsidRPr="00917E1D">
              <w:rPr>
                <w:rStyle w:val="Lienhypertexte"/>
                <w:noProof/>
                <w:lang w:val="en-GB"/>
              </w:rPr>
              <w:t>4.4 LIQUEFACTION CAPACITY AND UTILIZATION BY REGION</w:t>
            </w:r>
            <w:r w:rsidR="001B4F37">
              <w:rPr>
                <w:noProof/>
                <w:webHidden/>
              </w:rPr>
              <w:tab/>
            </w:r>
            <w:r>
              <w:rPr>
                <w:noProof/>
                <w:webHidden/>
              </w:rPr>
              <w:fldChar w:fldCharType="begin"/>
            </w:r>
            <w:r w:rsidR="001B4F37">
              <w:rPr>
                <w:noProof/>
                <w:webHidden/>
              </w:rPr>
              <w:instrText xml:space="preserve"> PAGEREF _Toc360628238 \h </w:instrText>
            </w:r>
            <w:r>
              <w:rPr>
                <w:noProof/>
                <w:webHidden/>
              </w:rPr>
            </w:r>
            <w:r>
              <w:rPr>
                <w:noProof/>
                <w:webHidden/>
              </w:rPr>
              <w:fldChar w:fldCharType="separate"/>
            </w:r>
            <w:r w:rsidR="001B4F37">
              <w:rPr>
                <w:noProof/>
                <w:webHidden/>
              </w:rPr>
              <w:t>18</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39" w:history="1">
            <w:r w:rsidR="001B4F37" w:rsidRPr="00917E1D">
              <w:rPr>
                <w:rStyle w:val="Lienhypertexte"/>
                <w:noProof/>
                <w:lang w:val="en-GB"/>
              </w:rPr>
              <w:t>4.5 LIQUEFACTION PROCESSES</w:t>
            </w:r>
            <w:r w:rsidR="001B4F37">
              <w:rPr>
                <w:noProof/>
                <w:webHidden/>
              </w:rPr>
              <w:tab/>
            </w:r>
            <w:r>
              <w:rPr>
                <w:noProof/>
                <w:webHidden/>
              </w:rPr>
              <w:fldChar w:fldCharType="begin"/>
            </w:r>
            <w:r w:rsidR="001B4F37">
              <w:rPr>
                <w:noProof/>
                <w:webHidden/>
              </w:rPr>
              <w:instrText xml:space="preserve"> PAGEREF _Toc360628239 \h </w:instrText>
            </w:r>
            <w:r>
              <w:rPr>
                <w:noProof/>
                <w:webHidden/>
              </w:rPr>
            </w:r>
            <w:r>
              <w:rPr>
                <w:noProof/>
                <w:webHidden/>
              </w:rPr>
              <w:fldChar w:fldCharType="separate"/>
            </w:r>
            <w:r w:rsidR="001B4F37">
              <w:rPr>
                <w:noProof/>
                <w:webHidden/>
              </w:rPr>
              <w:t>19</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0" w:history="1">
            <w:r w:rsidR="001B4F37" w:rsidRPr="00917E1D">
              <w:rPr>
                <w:rStyle w:val="Lienhypertexte"/>
                <w:noProof/>
                <w:lang w:val="en-GB"/>
              </w:rPr>
              <w:t>4.6 NEW DEVELOPMENTS</w:t>
            </w:r>
            <w:r w:rsidR="001B4F37">
              <w:rPr>
                <w:noProof/>
                <w:webHidden/>
              </w:rPr>
              <w:tab/>
            </w:r>
            <w:r>
              <w:rPr>
                <w:noProof/>
                <w:webHidden/>
              </w:rPr>
              <w:fldChar w:fldCharType="begin"/>
            </w:r>
            <w:r w:rsidR="001B4F37">
              <w:rPr>
                <w:noProof/>
                <w:webHidden/>
              </w:rPr>
              <w:instrText xml:space="preserve"> PAGEREF _Toc360628240 \h </w:instrText>
            </w:r>
            <w:r>
              <w:rPr>
                <w:noProof/>
                <w:webHidden/>
              </w:rPr>
            </w:r>
            <w:r>
              <w:rPr>
                <w:noProof/>
                <w:webHidden/>
              </w:rPr>
              <w:fldChar w:fldCharType="separate"/>
            </w:r>
            <w:r w:rsidR="001B4F37">
              <w:rPr>
                <w:noProof/>
                <w:webHidden/>
              </w:rPr>
              <w:t>19</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1" w:history="1">
            <w:r w:rsidR="001B4F37" w:rsidRPr="00917E1D">
              <w:rPr>
                <w:rStyle w:val="Lienhypertexte"/>
                <w:noProof/>
                <w:lang w:val="en-GB"/>
              </w:rPr>
              <w:t>4.7 PROJECT CAPEX</w:t>
            </w:r>
            <w:r w:rsidR="001B4F37">
              <w:rPr>
                <w:noProof/>
                <w:webHidden/>
              </w:rPr>
              <w:tab/>
            </w:r>
            <w:r>
              <w:rPr>
                <w:noProof/>
                <w:webHidden/>
              </w:rPr>
              <w:fldChar w:fldCharType="begin"/>
            </w:r>
            <w:r w:rsidR="001B4F37">
              <w:rPr>
                <w:noProof/>
                <w:webHidden/>
              </w:rPr>
              <w:instrText xml:space="preserve"> PAGEREF _Toc360628241 \h </w:instrText>
            </w:r>
            <w:r>
              <w:rPr>
                <w:noProof/>
                <w:webHidden/>
              </w:rPr>
            </w:r>
            <w:r>
              <w:rPr>
                <w:noProof/>
                <w:webHidden/>
              </w:rPr>
              <w:fldChar w:fldCharType="separate"/>
            </w:r>
            <w:r w:rsidR="001B4F37">
              <w:rPr>
                <w:noProof/>
                <w:webHidden/>
              </w:rPr>
              <w:t>20</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2" w:history="1">
            <w:r w:rsidR="001B4F37" w:rsidRPr="00917E1D">
              <w:rPr>
                <w:rStyle w:val="Lienhypertexte"/>
                <w:noProof/>
                <w:lang w:val="en-GB"/>
              </w:rPr>
              <w:t>4.8 SMALL-SCALE LNG</w:t>
            </w:r>
            <w:r w:rsidR="001B4F37">
              <w:rPr>
                <w:noProof/>
                <w:webHidden/>
              </w:rPr>
              <w:tab/>
            </w:r>
            <w:r>
              <w:rPr>
                <w:noProof/>
                <w:webHidden/>
              </w:rPr>
              <w:fldChar w:fldCharType="begin"/>
            </w:r>
            <w:r w:rsidR="001B4F37">
              <w:rPr>
                <w:noProof/>
                <w:webHidden/>
              </w:rPr>
              <w:instrText xml:space="preserve"> PAGEREF _Toc360628242 \h </w:instrText>
            </w:r>
            <w:r>
              <w:rPr>
                <w:noProof/>
                <w:webHidden/>
              </w:rPr>
            </w:r>
            <w:r>
              <w:rPr>
                <w:noProof/>
                <w:webHidden/>
              </w:rPr>
              <w:fldChar w:fldCharType="separate"/>
            </w:r>
            <w:r w:rsidR="001B4F37">
              <w:rPr>
                <w:noProof/>
                <w:webHidden/>
              </w:rPr>
              <w:t>21</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43" w:history="1">
            <w:r w:rsidR="001B4F37" w:rsidRPr="00917E1D">
              <w:rPr>
                <w:rStyle w:val="Lienhypertexte"/>
                <w:noProof/>
                <w:lang w:val="en-GB"/>
              </w:rPr>
              <w:t>5.  LNG Receiving Terminals</w:t>
            </w:r>
            <w:r w:rsidR="001B4F37">
              <w:rPr>
                <w:noProof/>
                <w:webHidden/>
              </w:rPr>
              <w:tab/>
            </w:r>
            <w:r>
              <w:rPr>
                <w:noProof/>
                <w:webHidden/>
              </w:rPr>
              <w:fldChar w:fldCharType="begin"/>
            </w:r>
            <w:r w:rsidR="001B4F37">
              <w:rPr>
                <w:noProof/>
                <w:webHidden/>
              </w:rPr>
              <w:instrText xml:space="preserve"> PAGEREF _Toc360628243 \h </w:instrText>
            </w:r>
            <w:r>
              <w:rPr>
                <w:noProof/>
                <w:webHidden/>
              </w:rPr>
            </w:r>
            <w:r>
              <w:rPr>
                <w:noProof/>
                <w:webHidden/>
              </w:rPr>
              <w:fldChar w:fldCharType="separate"/>
            </w:r>
            <w:r w:rsidR="001B4F37">
              <w:rPr>
                <w:noProof/>
                <w:webHidden/>
              </w:rPr>
              <w:t>23</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4" w:history="1">
            <w:r w:rsidR="001B4F37" w:rsidRPr="00917E1D">
              <w:rPr>
                <w:rStyle w:val="Lienhypertexte"/>
                <w:noProof/>
                <w:lang w:val="en-GB"/>
              </w:rPr>
              <w:t>5.1. OVERVIEW</w:t>
            </w:r>
            <w:r w:rsidR="001B4F37">
              <w:rPr>
                <w:noProof/>
                <w:webHidden/>
              </w:rPr>
              <w:tab/>
            </w:r>
            <w:r>
              <w:rPr>
                <w:noProof/>
                <w:webHidden/>
              </w:rPr>
              <w:fldChar w:fldCharType="begin"/>
            </w:r>
            <w:r w:rsidR="001B4F37">
              <w:rPr>
                <w:noProof/>
                <w:webHidden/>
              </w:rPr>
              <w:instrText xml:space="preserve"> PAGEREF _Toc360628244 \h </w:instrText>
            </w:r>
            <w:r>
              <w:rPr>
                <w:noProof/>
                <w:webHidden/>
              </w:rPr>
            </w:r>
            <w:r>
              <w:rPr>
                <w:noProof/>
                <w:webHidden/>
              </w:rPr>
              <w:fldChar w:fldCharType="separate"/>
            </w:r>
            <w:r w:rsidR="001B4F37">
              <w:rPr>
                <w:noProof/>
                <w:webHidden/>
              </w:rPr>
              <w:t>23</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5" w:history="1">
            <w:r w:rsidR="001B4F37" w:rsidRPr="00917E1D">
              <w:rPr>
                <w:rStyle w:val="Lienhypertexte"/>
                <w:noProof/>
                <w:lang w:val="en-GB"/>
              </w:rPr>
              <w:t>5.2. RECEIVING TERMINAL CAPACITY AND UTILIZATION GLOBALLY</w:t>
            </w:r>
            <w:r w:rsidR="001B4F37">
              <w:rPr>
                <w:noProof/>
                <w:webHidden/>
              </w:rPr>
              <w:tab/>
            </w:r>
            <w:r>
              <w:rPr>
                <w:noProof/>
                <w:webHidden/>
              </w:rPr>
              <w:fldChar w:fldCharType="begin"/>
            </w:r>
            <w:r w:rsidR="001B4F37">
              <w:rPr>
                <w:noProof/>
                <w:webHidden/>
              </w:rPr>
              <w:instrText xml:space="preserve"> PAGEREF _Toc360628245 \h </w:instrText>
            </w:r>
            <w:r>
              <w:rPr>
                <w:noProof/>
                <w:webHidden/>
              </w:rPr>
            </w:r>
            <w:r>
              <w:rPr>
                <w:noProof/>
                <w:webHidden/>
              </w:rPr>
              <w:fldChar w:fldCharType="separate"/>
            </w:r>
            <w:r w:rsidR="001B4F37">
              <w:rPr>
                <w:noProof/>
                <w:webHidden/>
              </w:rPr>
              <w:t>23</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6" w:history="1">
            <w:r w:rsidR="001B4F37" w:rsidRPr="00917E1D">
              <w:rPr>
                <w:rStyle w:val="Lienhypertexte"/>
                <w:noProof/>
                <w:lang w:val="en-GB"/>
              </w:rPr>
              <w:t>5.3 RECEIVING TERMINAL CAPACITY AND UTILIZATION BY COUNTRY</w:t>
            </w:r>
            <w:r w:rsidR="001B4F37">
              <w:rPr>
                <w:noProof/>
                <w:webHidden/>
              </w:rPr>
              <w:tab/>
            </w:r>
            <w:r>
              <w:rPr>
                <w:noProof/>
                <w:webHidden/>
              </w:rPr>
              <w:fldChar w:fldCharType="begin"/>
            </w:r>
            <w:r w:rsidR="001B4F37">
              <w:rPr>
                <w:noProof/>
                <w:webHidden/>
              </w:rPr>
              <w:instrText xml:space="preserve"> PAGEREF _Toc360628246 \h </w:instrText>
            </w:r>
            <w:r>
              <w:rPr>
                <w:noProof/>
                <w:webHidden/>
              </w:rPr>
            </w:r>
            <w:r>
              <w:rPr>
                <w:noProof/>
                <w:webHidden/>
              </w:rPr>
              <w:fldChar w:fldCharType="separate"/>
            </w:r>
            <w:r w:rsidR="001B4F37">
              <w:rPr>
                <w:noProof/>
                <w:webHidden/>
              </w:rPr>
              <w:t>24</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7" w:history="1">
            <w:r w:rsidR="001B4F37" w:rsidRPr="00917E1D">
              <w:rPr>
                <w:rStyle w:val="Lienhypertexte"/>
                <w:noProof/>
                <w:lang w:val="en-GB"/>
              </w:rPr>
              <w:t>5.4 RECEIVING TERMINALS BY REGION</w:t>
            </w:r>
            <w:r w:rsidR="001B4F37">
              <w:rPr>
                <w:noProof/>
                <w:webHidden/>
              </w:rPr>
              <w:tab/>
            </w:r>
            <w:r>
              <w:rPr>
                <w:noProof/>
                <w:webHidden/>
              </w:rPr>
              <w:fldChar w:fldCharType="begin"/>
            </w:r>
            <w:r w:rsidR="001B4F37">
              <w:rPr>
                <w:noProof/>
                <w:webHidden/>
              </w:rPr>
              <w:instrText xml:space="preserve"> PAGEREF _Toc360628247 \h </w:instrText>
            </w:r>
            <w:r>
              <w:rPr>
                <w:noProof/>
                <w:webHidden/>
              </w:rPr>
            </w:r>
            <w:r>
              <w:rPr>
                <w:noProof/>
                <w:webHidden/>
              </w:rPr>
              <w:fldChar w:fldCharType="separate"/>
            </w:r>
            <w:r w:rsidR="001B4F37">
              <w:rPr>
                <w:noProof/>
                <w:webHidden/>
              </w:rPr>
              <w:t>25</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8" w:history="1">
            <w:r w:rsidR="001B4F37" w:rsidRPr="00917E1D">
              <w:rPr>
                <w:rStyle w:val="Lienhypertexte"/>
                <w:noProof/>
                <w:lang w:val="en-GB"/>
              </w:rPr>
              <w:t>5.5 RECEIVING TERMINAL LNG STORAGE CAPACITY</w:t>
            </w:r>
            <w:r w:rsidR="001B4F37">
              <w:rPr>
                <w:noProof/>
                <w:webHidden/>
              </w:rPr>
              <w:tab/>
            </w:r>
            <w:r>
              <w:rPr>
                <w:noProof/>
                <w:webHidden/>
              </w:rPr>
              <w:fldChar w:fldCharType="begin"/>
            </w:r>
            <w:r w:rsidR="001B4F37">
              <w:rPr>
                <w:noProof/>
                <w:webHidden/>
              </w:rPr>
              <w:instrText xml:space="preserve"> PAGEREF _Toc360628248 \h </w:instrText>
            </w:r>
            <w:r>
              <w:rPr>
                <w:noProof/>
                <w:webHidden/>
              </w:rPr>
            </w:r>
            <w:r>
              <w:rPr>
                <w:noProof/>
                <w:webHidden/>
              </w:rPr>
              <w:fldChar w:fldCharType="separate"/>
            </w:r>
            <w:r w:rsidR="001B4F37">
              <w:rPr>
                <w:noProof/>
                <w:webHidden/>
              </w:rPr>
              <w:t>26</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49" w:history="1">
            <w:r w:rsidR="001B4F37" w:rsidRPr="00917E1D">
              <w:rPr>
                <w:rStyle w:val="Lienhypertexte"/>
                <w:noProof/>
                <w:lang w:val="en-GB"/>
              </w:rPr>
              <w:t>5.6 RECEIVING TERMINAL BERTHING CAPACITY</w:t>
            </w:r>
            <w:r w:rsidR="001B4F37">
              <w:rPr>
                <w:noProof/>
                <w:webHidden/>
              </w:rPr>
              <w:tab/>
            </w:r>
            <w:r>
              <w:rPr>
                <w:noProof/>
                <w:webHidden/>
              </w:rPr>
              <w:fldChar w:fldCharType="begin"/>
            </w:r>
            <w:r w:rsidR="001B4F37">
              <w:rPr>
                <w:noProof/>
                <w:webHidden/>
              </w:rPr>
              <w:instrText xml:space="preserve"> PAGEREF _Toc360628249 \h </w:instrText>
            </w:r>
            <w:r>
              <w:rPr>
                <w:noProof/>
                <w:webHidden/>
              </w:rPr>
            </w:r>
            <w:r>
              <w:rPr>
                <w:noProof/>
                <w:webHidden/>
              </w:rPr>
              <w:fldChar w:fldCharType="separate"/>
            </w:r>
            <w:r w:rsidR="001B4F37">
              <w:rPr>
                <w:noProof/>
                <w:webHidden/>
              </w:rPr>
              <w:t>27</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0" w:history="1">
            <w:r w:rsidR="001B4F37" w:rsidRPr="00917E1D">
              <w:rPr>
                <w:rStyle w:val="Lienhypertexte"/>
                <w:noProof/>
                <w:lang w:val="en-GB"/>
              </w:rPr>
              <w:t>5.7 FLOATING AND OFFSHORE REGASIFICATION</w:t>
            </w:r>
            <w:r w:rsidR="001B4F37">
              <w:rPr>
                <w:noProof/>
                <w:webHidden/>
              </w:rPr>
              <w:tab/>
            </w:r>
            <w:r>
              <w:rPr>
                <w:noProof/>
                <w:webHidden/>
              </w:rPr>
              <w:fldChar w:fldCharType="begin"/>
            </w:r>
            <w:r w:rsidR="001B4F37">
              <w:rPr>
                <w:noProof/>
                <w:webHidden/>
              </w:rPr>
              <w:instrText xml:space="preserve"> PAGEREF _Toc360628250 \h </w:instrText>
            </w:r>
            <w:r>
              <w:rPr>
                <w:noProof/>
                <w:webHidden/>
              </w:rPr>
            </w:r>
            <w:r>
              <w:rPr>
                <w:noProof/>
                <w:webHidden/>
              </w:rPr>
              <w:fldChar w:fldCharType="separate"/>
            </w:r>
            <w:r w:rsidR="001B4F37">
              <w:rPr>
                <w:noProof/>
                <w:webHidden/>
              </w:rPr>
              <w:t>27</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1" w:history="1">
            <w:r w:rsidR="001B4F37" w:rsidRPr="00917E1D">
              <w:rPr>
                <w:rStyle w:val="Lienhypertexte"/>
                <w:noProof/>
                <w:lang w:val="en-GB"/>
              </w:rPr>
              <w:t>5.8 RECEIVING TERMINALS WITH RELOADING CAPABILITY</w:t>
            </w:r>
            <w:r w:rsidR="001B4F37">
              <w:rPr>
                <w:noProof/>
                <w:webHidden/>
              </w:rPr>
              <w:tab/>
            </w:r>
            <w:r>
              <w:rPr>
                <w:noProof/>
                <w:webHidden/>
              </w:rPr>
              <w:fldChar w:fldCharType="begin"/>
            </w:r>
            <w:r w:rsidR="001B4F37">
              <w:rPr>
                <w:noProof/>
                <w:webHidden/>
              </w:rPr>
              <w:instrText xml:space="preserve"> PAGEREF _Toc360628251 \h </w:instrText>
            </w:r>
            <w:r>
              <w:rPr>
                <w:noProof/>
                <w:webHidden/>
              </w:rPr>
            </w:r>
            <w:r>
              <w:rPr>
                <w:noProof/>
                <w:webHidden/>
              </w:rPr>
              <w:fldChar w:fldCharType="separate"/>
            </w:r>
            <w:r w:rsidR="001B4F37">
              <w:rPr>
                <w:noProof/>
                <w:webHidden/>
              </w:rPr>
              <w:t>28</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2" w:history="1">
            <w:r w:rsidR="001B4F37" w:rsidRPr="00917E1D">
              <w:rPr>
                <w:rStyle w:val="Lienhypertexte"/>
                <w:noProof/>
                <w:lang w:val="en-GB"/>
              </w:rPr>
              <w:t>5.9 PROJECT CAPEX</w:t>
            </w:r>
            <w:r w:rsidR="001B4F37">
              <w:rPr>
                <w:noProof/>
                <w:webHidden/>
              </w:rPr>
              <w:tab/>
            </w:r>
            <w:r>
              <w:rPr>
                <w:noProof/>
                <w:webHidden/>
              </w:rPr>
              <w:fldChar w:fldCharType="begin"/>
            </w:r>
            <w:r w:rsidR="001B4F37">
              <w:rPr>
                <w:noProof/>
                <w:webHidden/>
              </w:rPr>
              <w:instrText xml:space="preserve"> PAGEREF _Toc360628252 \h </w:instrText>
            </w:r>
            <w:r>
              <w:rPr>
                <w:noProof/>
                <w:webHidden/>
              </w:rPr>
            </w:r>
            <w:r>
              <w:rPr>
                <w:noProof/>
                <w:webHidden/>
              </w:rPr>
              <w:fldChar w:fldCharType="separate"/>
            </w:r>
            <w:r w:rsidR="001B4F37">
              <w:rPr>
                <w:noProof/>
                <w:webHidden/>
              </w:rPr>
              <w:t>28</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53" w:history="1">
            <w:r w:rsidR="001B4F37" w:rsidRPr="00917E1D">
              <w:rPr>
                <w:rStyle w:val="Lienhypertexte"/>
                <w:noProof/>
              </w:rPr>
              <w:t>6.  LNG Carriers</w:t>
            </w:r>
            <w:r w:rsidR="001B4F37">
              <w:rPr>
                <w:noProof/>
                <w:webHidden/>
              </w:rPr>
              <w:tab/>
            </w:r>
            <w:r>
              <w:rPr>
                <w:noProof/>
                <w:webHidden/>
              </w:rPr>
              <w:fldChar w:fldCharType="begin"/>
            </w:r>
            <w:r w:rsidR="001B4F37">
              <w:rPr>
                <w:noProof/>
                <w:webHidden/>
              </w:rPr>
              <w:instrText xml:space="preserve"> PAGEREF _Toc360628253 \h </w:instrText>
            </w:r>
            <w:r>
              <w:rPr>
                <w:noProof/>
                <w:webHidden/>
              </w:rPr>
            </w:r>
            <w:r>
              <w:rPr>
                <w:noProof/>
                <w:webHidden/>
              </w:rPr>
              <w:fldChar w:fldCharType="separate"/>
            </w:r>
            <w:r w:rsidR="001B4F37">
              <w:rPr>
                <w:noProof/>
                <w:webHidden/>
              </w:rPr>
              <w:t>30</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4" w:history="1">
            <w:r w:rsidR="001B4F37" w:rsidRPr="00917E1D">
              <w:rPr>
                <w:rStyle w:val="Lienhypertexte"/>
                <w:noProof/>
                <w:lang w:val="en-GB"/>
              </w:rPr>
              <w:t>6.1. OVERVIEW</w:t>
            </w:r>
            <w:r w:rsidR="001B4F37">
              <w:rPr>
                <w:noProof/>
                <w:webHidden/>
              </w:rPr>
              <w:tab/>
            </w:r>
            <w:r>
              <w:rPr>
                <w:noProof/>
                <w:webHidden/>
              </w:rPr>
              <w:fldChar w:fldCharType="begin"/>
            </w:r>
            <w:r w:rsidR="001B4F37">
              <w:rPr>
                <w:noProof/>
                <w:webHidden/>
              </w:rPr>
              <w:instrText xml:space="preserve"> PAGEREF _Toc360628254 \h </w:instrText>
            </w:r>
            <w:r>
              <w:rPr>
                <w:noProof/>
                <w:webHidden/>
              </w:rPr>
            </w:r>
            <w:r>
              <w:rPr>
                <w:noProof/>
                <w:webHidden/>
              </w:rPr>
              <w:fldChar w:fldCharType="separate"/>
            </w:r>
            <w:r w:rsidR="001B4F37">
              <w:rPr>
                <w:noProof/>
                <w:webHidden/>
              </w:rPr>
              <w:t>30</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5" w:history="1">
            <w:r w:rsidR="001B4F37" w:rsidRPr="00917E1D">
              <w:rPr>
                <w:rStyle w:val="Lienhypertexte"/>
                <w:noProof/>
                <w:lang w:val="en-GB"/>
              </w:rPr>
              <w:t>6.2 VESSEL TYPES</w:t>
            </w:r>
            <w:r w:rsidR="001B4F37">
              <w:rPr>
                <w:noProof/>
                <w:webHidden/>
              </w:rPr>
              <w:tab/>
            </w:r>
            <w:r>
              <w:rPr>
                <w:noProof/>
                <w:webHidden/>
              </w:rPr>
              <w:fldChar w:fldCharType="begin"/>
            </w:r>
            <w:r w:rsidR="001B4F37">
              <w:rPr>
                <w:noProof/>
                <w:webHidden/>
              </w:rPr>
              <w:instrText xml:space="preserve"> PAGEREF _Toc360628255 \h </w:instrText>
            </w:r>
            <w:r>
              <w:rPr>
                <w:noProof/>
                <w:webHidden/>
              </w:rPr>
            </w:r>
            <w:r>
              <w:rPr>
                <w:noProof/>
                <w:webHidden/>
              </w:rPr>
              <w:fldChar w:fldCharType="separate"/>
            </w:r>
            <w:r w:rsidR="001B4F37">
              <w:rPr>
                <w:noProof/>
                <w:webHidden/>
              </w:rPr>
              <w:t>30</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6" w:history="1">
            <w:r w:rsidR="001B4F37" w:rsidRPr="00917E1D">
              <w:rPr>
                <w:rStyle w:val="Lienhypertexte"/>
                <w:noProof/>
                <w:lang w:val="en-GB"/>
              </w:rPr>
              <w:t>6.3 VESSEL CAPACITY AND AGE</w:t>
            </w:r>
            <w:r w:rsidR="001B4F37">
              <w:rPr>
                <w:noProof/>
                <w:webHidden/>
              </w:rPr>
              <w:tab/>
            </w:r>
            <w:r>
              <w:rPr>
                <w:noProof/>
                <w:webHidden/>
              </w:rPr>
              <w:fldChar w:fldCharType="begin"/>
            </w:r>
            <w:r w:rsidR="001B4F37">
              <w:rPr>
                <w:noProof/>
                <w:webHidden/>
              </w:rPr>
              <w:instrText xml:space="preserve"> PAGEREF _Toc360628256 \h </w:instrText>
            </w:r>
            <w:r>
              <w:rPr>
                <w:noProof/>
                <w:webHidden/>
              </w:rPr>
            </w:r>
            <w:r>
              <w:rPr>
                <w:noProof/>
                <w:webHidden/>
              </w:rPr>
              <w:fldChar w:fldCharType="separate"/>
            </w:r>
            <w:r w:rsidR="001B4F37">
              <w:rPr>
                <w:noProof/>
                <w:webHidden/>
              </w:rPr>
              <w:t>31</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7" w:history="1">
            <w:r w:rsidR="001B4F37" w:rsidRPr="00917E1D">
              <w:rPr>
                <w:rStyle w:val="Lienhypertexte"/>
                <w:noProof/>
                <w:lang w:val="en-GB"/>
              </w:rPr>
              <w:t>6.4  CHARTER MARKET</w:t>
            </w:r>
            <w:r w:rsidR="001B4F37">
              <w:rPr>
                <w:noProof/>
                <w:webHidden/>
              </w:rPr>
              <w:tab/>
            </w:r>
            <w:r>
              <w:rPr>
                <w:noProof/>
                <w:webHidden/>
              </w:rPr>
              <w:fldChar w:fldCharType="begin"/>
            </w:r>
            <w:r w:rsidR="001B4F37">
              <w:rPr>
                <w:noProof/>
                <w:webHidden/>
              </w:rPr>
              <w:instrText xml:space="preserve"> PAGEREF _Toc360628257 \h </w:instrText>
            </w:r>
            <w:r>
              <w:rPr>
                <w:noProof/>
                <w:webHidden/>
              </w:rPr>
            </w:r>
            <w:r>
              <w:rPr>
                <w:noProof/>
                <w:webHidden/>
              </w:rPr>
              <w:fldChar w:fldCharType="separate"/>
            </w:r>
            <w:r w:rsidR="001B4F37">
              <w:rPr>
                <w:noProof/>
                <w:webHidden/>
              </w:rPr>
              <w:t>31</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8" w:history="1">
            <w:r w:rsidR="001B4F37" w:rsidRPr="00917E1D">
              <w:rPr>
                <w:rStyle w:val="Lienhypertexte"/>
                <w:noProof/>
                <w:lang w:val="en-GB"/>
              </w:rPr>
              <w:t>6.5 FLEET AND NEW-BUILD ORDERS</w:t>
            </w:r>
            <w:r w:rsidR="001B4F37">
              <w:rPr>
                <w:noProof/>
                <w:webHidden/>
              </w:rPr>
              <w:tab/>
            </w:r>
            <w:r>
              <w:rPr>
                <w:noProof/>
                <w:webHidden/>
              </w:rPr>
              <w:fldChar w:fldCharType="begin"/>
            </w:r>
            <w:r w:rsidR="001B4F37">
              <w:rPr>
                <w:noProof/>
                <w:webHidden/>
              </w:rPr>
              <w:instrText xml:space="preserve"> PAGEREF _Toc360628258 \h </w:instrText>
            </w:r>
            <w:r>
              <w:rPr>
                <w:noProof/>
                <w:webHidden/>
              </w:rPr>
            </w:r>
            <w:r>
              <w:rPr>
                <w:noProof/>
                <w:webHidden/>
              </w:rPr>
              <w:fldChar w:fldCharType="separate"/>
            </w:r>
            <w:r w:rsidR="001B4F37">
              <w:rPr>
                <w:noProof/>
                <w:webHidden/>
              </w:rPr>
              <w:t>32</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59" w:history="1">
            <w:r w:rsidR="001B4F37" w:rsidRPr="00917E1D">
              <w:rPr>
                <w:rStyle w:val="Lienhypertexte"/>
                <w:noProof/>
                <w:lang w:val="en-GB"/>
              </w:rPr>
              <w:t>6.6 LIQUEFACTION AND SHIPPING CAPACITY GROWTH</w:t>
            </w:r>
            <w:r w:rsidR="001B4F37">
              <w:rPr>
                <w:noProof/>
                <w:webHidden/>
              </w:rPr>
              <w:tab/>
            </w:r>
            <w:r>
              <w:rPr>
                <w:noProof/>
                <w:webHidden/>
              </w:rPr>
              <w:fldChar w:fldCharType="begin"/>
            </w:r>
            <w:r w:rsidR="001B4F37">
              <w:rPr>
                <w:noProof/>
                <w:webHidden/>
              </w:rPr>
              <w:instrText xml:space="preserve"> PAGEREF _Toc360628259 \h </w:instrText>
            </w:r>
            <w:r>
              <w:rPr>
                <w:noProof/>
                <w:webHidden/>
              </w:rPr>
            </w:r>
            <w:r>
              <w:rPr>
                <w:noProof/>
                <w:webHidden/>
              </w:rPr>
              <w:fldChar w:fldCharType="separate"/>
            </w:r>
            <w:r w:rsidR="001B4F37">
              <w:rPr>
                <w:noProof/>
                <w:webHidden/>
              </w:rPr>
              <w:t>32</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60" w:history="1">
            <w:r w:rsidR="001B4F37" w:rsidRPr="00917E1D">
              <w:rPr>
                <w:rStyle w:val="Lienhypertexte"/>
                <w:noProof/>
              </w:rPr>
              <w:t>7.  Special Report on North American LNG Prospects and Challenges</w:t>
            </w:r>
            <w:r w:rsidR="001B4F37">
              <w:rPr>
                <w:noProof/>
                <w:webHidden/>
              </w:rPr>
              <w:tab/>
            </w:r>
            <w:r>
              <w:rPr>
                <w:noProof/>
                <w:webHidden/>
              </w:rPr>
              <w:fldChar w:fldCharType="begin"/>
            </w:r>
            <w:r w:rsidR="001B4F37">
              <w:rPr>
                <w:noProof/>
                <w:webHidden/>
              </w:rPr>
              <w:instrText xml:space="preserve"> PAGEREF _Toc360628260 \h </w:instrText>
            </w:r>
            <w:r>
              <w:rPr>
                <w:noProof/>
                <w:webHidden/>
              </w:rPr>
            </w:r>
            <w:r>
              <w:rPr>
                <w:noProof/>
                <w:webHidden/>
              </w:rPr>
              <w:fldChar w:fldCharType="separate"/>
            </w:r>
            <w:r w:rsidR="001B4F37">
              <w:rPr>
                <w:noProof/>
                <w:webHidden/>
              </w:rPr>
              <w:t>35</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1" w:history="1">
            <w:r w:rsidR="001B4F37" w:rsidRPr="00917E1D">
              <w:rPr>
                <w:rStyle w:val="Lienhypertexte"/>
                <w:noProof/>
                <w:lang w:val="en-GB"/>
              </w:rPr>
              <w:t>7.1. OVERVIEW</w:t>
            </w:r>
            <w:r w:rsidR="001B4F37">
              <w:rPr>
                <w:noProof/>
                <w:webHidden/>
              </w:rPr>
              <w:tab/>
            </w:r>
            <w:r>
              <w:rPr>
                <w:noProof/>
                <w:webHidden/>
              </w:rPr>
              <w:fldChar w:fldCharType="begin"/>
            </w:r>
            <w:r w:rsidR="001B4F37">
              <w:rPr>
                <w:noProof/>
                <w:webHidden/>
              </w:rPr>
              <w:instrText xml:space="preserve"> PAGEREF _Toc360628261 \h </w:instrText>
            </w:r>
            <w:r>
              <w:rPr>
                <w:noProof/>
                <w:webHidden/>
              </w:rPr>
            </w:r>
            <w:r>
              <w:rPr>
                <w:noProof/>
                <w:webHidden/>
              </w:rPr>
              <w:fldChar w:fldCharType="separate"/>
            </w:r>
            <w:r w:rsidR="001B4F37">
              <w:rPr>
                <w:noProof/>
                <w:webHidden/>
              </w:rPr>
              <w:t>35</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2" w:history="1">
            <w:r w:rsidR="001B4F37" w:rsidRPr="00917E1D">
              <w:rPr>
                <w:rStyle w:val="Lienhypertexte"/>
                <w:noProof/>
                <w:lang w:val="en-GB"/>
              </w:rPr>
              <w:t>7.2. PROPOSED LIQUEFACTION PROJECTS IN THE UNITED STATES AND CANADA</w:t>
            </w:r>
            <w:r w:rsidR="001B4F37">
              <w:rPr>
                <w:noProof/>
                <w:webHidden/>
              </w:rPr>
              <w:tab/>
            </w:r>
            <w:r>
              <w:rPr>
                <w:noProof/>
                <w:webHidden/>
              </w:rPr>
              <w:fldChar w:fldCharType="begin"/>
            </w:r>
            <w:r w:rsidR="001B4F37">
              <w:rPr>
                <w:noProof/>
                <w:webHidden/>
              </w:rPr>
              <w:instrText xml:space="preserve"> PAGEREF _Toc360628262 \h </w:instrText>
            </w:r>
            <w:r>
              <w:rPr>
                <w:noProof/>
                <w:webHidden/>
              </w:rPr>
            </w:r>
            <w:r>
              <w:rPr>
                <w:noProof/>
                <w:webHidden/>
              </w:rPr>
              <w:fldChar w:fldCharType="separate"/>
            </w:r>
            <w:r w:rsidR="001B4F37">
              <w:rPr>
                <w:noProof/>
                <w:webHidden/>
              </w:rPr>
              <w:t>36</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3" w:history="1">
            <w:r w:rsidR="001B4F37" w:rsidRPr="00917E1D">
              <w:rPr>
                <w:rStyle w:val="Lienhypertexte"/>
                <w:noProof/>
                <w:lang w:val="en-GB"/>
              </w:rPr>
              <w:t>7.3. POLITICAL RISKS FACING PROPOSED NORTH AMERICAN LIQUEFACTION PROJECTS</w:t>
            </w:r>
            <w:r w:rsidR="001B4F37">
              <w:rPr>
                <w:noProof/>
                <w:webHidden/>
              </w:rPr>
              <w:tab/>
            </w:r>
            <w:r>
              <w:rPr>
                <w:noProof/>
                <w:webHidden/>
              </w:rPr>
              <w:fldChar w:fldCharType="begin"/>
            </w:r>
            <w:r w:rsidR="001B4F37">
              <w:rPr>
                <w:noProof/>
                <w:webHidden/>
              </w:rPr>
              <w:instrText xml:space="preserve"> PAGEREF _Toc360628263 \h </w:instrText>
            </w:r>
            <w:r>
              <w:rPr>
                <w:noProof/>
                <w:webHidden/>
              </w:rPr>
            </w:r>
            <w:r>
              <w:rPr>
                <w:noProof/>
                <w:webHidden/>
              </w:rPr>
              <w:fldChar w:fldCharType="separate"/>
            </w:r>
            <w:r w:rsidR="001B4F37">
              <w:rPr>
                <w:noProof/>
                <w:webHidden/>
              </w:rPr>
              <w:t>37</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4" w:history="1">
            <w:r w:rsidR="001B4F37" w:rsidRPr="00917E1D">
              <w:rPr>
                <w:rStyle w:val="Lienhypertexte"/>
                <w:noProof/>
                <w:lang w:val="en-GB"/>
              </w:rPr>
              <w:t>7.4 COMMERCIAL RISKS FACING PROPOSED NORTH AMERICAN LIQUEFACTION PROJECTS</w:t>
            </w:r>
            <w:r w:rsidR="001B4F37">
              <w:rPr>
                <w:noProof/>
                <w:webHidden/>
              </w:rPr>
              <w:tab/>
            </w:r>
            <w:r>
              <w:rPr>
                <w:noProof/>
                <w:webHidden/>
              </w:rPr>
              <w:fldChar w:fldCharType="begin"/>
            </w:r>
            <w:r w:rsidR="001B4F37">
              <w:rPr>
                <w:noProof/>
                <w:webHidden/>
              </w:rPr>
              <w:instrText xml:space="preserve"> PAGEREF _Toc360628264 \h </w:instrText>
            </w:r>
            <w:r>
              <w:rPr>
                <w:noProof/>
                <w:webHidden/>
              </w:rPr>
            </w:r>
            <w:r>
              <w:rPr>
                <w:noProof/>
                <w:webHidden/>
              </w:rPr>
              <w:fldChar w:fldCharType="separate"/>
            </w:r>
            <w:r w:rsidR="001B4F37">
              <w:rPr>
                <w:noProof/>
                <w:webHidden/>
              </w:rPr>
              <w:t>39</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65" w:history="1">
            <w:r w:rsidR="001B4F37" w:rsidRPr="00917E1D">
              <w:rPr>
                <w:rStyle w:val="Lienhypertexte"/>
                <w:noProof/>
              </w:rPr>
              <w:t>8.  Special Report on LNG as Fuel for Transportation</w:t>
            </w:r>
            <w:r w:rsidR="001B4F37">
              <w:rPr>
                <w:noProof/>
                <w:webHidden/>
              </w:rPr>
              <w:tab/>
            </w:r>
            <w:r>
              <w:rPr>
                <w:noProof/>
                <w:webHidden/>
              </w:rPr>
              <w:fldChar w:fldCharType="begin"/>
            </w:r>
            <w:r w:rsidR="001B4F37">
              <w:rPr>
                <w:noProof/>
                <w:webHidden/>
              </w:rPr>
              <w:instrText xml:space="preserve"> PAGEREF _Toc360628265 \h </w:instrText>
            </w:r>
            <w:r>
              <w:rPr>
                <w:noProof/>
                <w:webHidden/>
              </w:rPr>
            </w:r>
            <w:r>
              <w:rPr>
                <w:noProof/>
                <w:webHidden/>
              </w:rPr>
              <w:fldChar w:fldCharType="separate"/>
            </w:r>
            <w:r w:rsidR="001B4F37">
              <w:rPr>
                <w:noProof/>
                <w:webHidden/>
              </w:rPr>
              <w:t>41</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6" w:history="1">
            <w:r w:rsidR="001B4F37" w:rsidRPr="00917E1D">
              <w:rPr>
                <w:rStyle w:val="Lienhypertexte"/>
                <w:noProof/>
                <w:lang w:val="en-GB"/>
              </w:rPr>
              <w:t>8.1. DRIVERS FOR LNG AS TRANSPORT FUEL</w:t>
            </w:r>
            <w:r w:rsidR="001B4F37">
              <w:rPr>
                <w:noProof/>
                <w:webHidden/>
              </w:rPr>
              <w:tab/>
            </w:r>
            <w:r>
              <w:rPr>
                <w:noProof/>
                <w:webHidden/>
              </w:rPr>
              <w:fldChar w:fldCharType="begin"/>
            </w:r>
            <w:r w:rsidR="001B4F37">
              <w:rPr>
                <w:noProof/>
                <w:webHidden/>
              </w:rPr>
              <w:instrText xml:space="preserve"> PAGEREF _Toc360628266 \h </w:instrText>
            </w:r>
            <w:r>
              <w:rPr>
                <w:noProof/>
                <w:webHidden/>
              </w:rPr>
            </w:r>
            <w:r>
              <w:rPr>
                <w:noProof/>
                <w:webHidden/>
              </w:rPr>
              <w:fldChar w:fldCharType="separate"/>
            </w:r>
            <w:r w:rsidR="001B4F37">
              <w:rPr>
                <w:noProof/>
                <w:webHidden/>
              </w:rPr>
              <w:t>41</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7" w:history="1">
            <w:r w:rsidR="001B4F37" w:rsidRPr="00917E1D">
              <w:rPr>
                <w:rStyle w:val="Lienhypertexte"/>
                <w:noProof/>
                <w:lang w:val="en-GB"/>
              </w:rPr>
              <w:t>8.2 CONSTRAINTS THE INDUSTRY MUST OVERCOME</w:t>
            </w:r>
            <w:r w:rsidR="001B4F37">
              <w:rPr>
                <w:noProof/>
                <w:webHidden/>
              </w:rPr>
              <w:tab/>
            </w:r>
            <w:r>
              <w:rPr>
                <w:noProof/>
                <w:webHidden/>
              </w:rPr>
              <w:fldChar w:fldCharType="begin"/>
            </w:r>
            <w:r w:rsidR="001B4F37">
              <w:rPr>
                <w:noProof/>
                <w:webHidden/>
              </w:rPr>
              <w:instrText xml:space="preserve"> PAGEREF _Toc360628267 \h </w:instrText>
            </w:r>
            <w:r>
              <w:rPr>
                <w:noProof/>
                <w:webHidden/>
              </w:rPr>
            </w:r>
            <w:r>
              <w:rPr>
                <w:noProof/>
                <w:webHidden/>
              </w:rPr>
              <w:fldChar w:fldCharType="separate"/>
            </w:r>
            <w:r w:rsidR="001B4F37">
              <w:rPr>
                <w:noProof/>
                <w:webHidden/>
              </w:rPr>
              <w:t>42</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8" w:history="1">
            <w:r w:rsidR="001B4F37" w:rsidRPr="00917E1D">
              <w:rPr>
                <w:rStyle w:val="Lienhypertexte"/>
                <w:noProof/>
                <w:lang w:val="en-GB"/>
              </w:rPr>
              <w:t>8.3 THE EXISTING BUNKER FUEL BUSINESS</w:t>
            </w:r>
            <w:r w:rsidR="001B4F37">
              <w:rPr>
                <w:noProof/>
                <w:webHidden/>
              </w:rPr>
              <w:tab/>
            </w:r>
            <w:r>
              <w:rPr>
                <w:noProof/>
                <w:webHidden/>
              </w:rPr>
              <w:fldChar w:fldCharType="begin"/>
            </w:r>
            <w:r w:rsidR="001B4F37">
              <w:rPr>
                <w:noProof/>
                <w:webHidden/>
              </w:rPr>
              <w:instrText xml:space="preserve"> PAGEREF _Toc360628268 \h </w:instrText>
            </w:r>
            <w:r>
              <w:rPr>
                <w:noProof/>
                <w:webHidden/>
              </w:rPr>
            </w:r>
            <w:r>
              <w:rPr>
                <w:noProof/>
                <w:webHidden/>
              </w:rPr>
              <w:fldChar w:fldCharType="separate"/>
            </w:r>
            <w:r w:rsidR="001B4F37">
              <w:rPr>
                <w:noProof/>
                <w:webHidden/>
              </w:rPr>
              <w:t>42</w:t>
            </w:r>
            <w:r>
              <w:rPr>
                <w:noProof/>
                <w:webHidden/>
              </w:rPr>
              <w:fldChar w:fldCharType="end"/>
            </w:r>
          </w:hyperlink>
        </w:p>
        <w:p w:rsidR="001B4F37" w:rsidRDefault="00073EEA">
          <w:pPr>
            <w:pStyle w:val="TM2"/>
            <w:tabs>
              <w:tab w:val="right" w:leader="dot" w:pos="10142"/>
            </w:tabs>
            <w:rPr>
              <w:rFonts w:asciiTheme="minorHAnsi" w:eastAsiaTheme="minorEastAsia" w:hAnsiTheme="minorHAnsi" w:cstheme="minorBidi"/>
              <w:smallCaps w:val="0"/>
              <w:noProof/>
              <w:sz w:val="22"/>
              <w:szCs w:val="22"/>
              <w:lang w:eastAsia="en-US"/>
            </w:rPr>
          </w:pPr>
          <w:hyperlink w:anchor="_Toc360628269" w:history="1">
            <w:r w:rsidR="001B4F37" w:rsidRPr="00917E1D">
              <w:rPr>
                <w:rStyle w:val="Lienhypertexte"/>
                <w:noProof/>
                <w:lang w:val="en-GB"/>
              </w:rPr>
              <w:t>8.4  THE EXISTING TRUCK FUEL BUSINESS</w:t>
            </w:r>
            <w:r w:rsidR="001B4F37">
              <w:rPr>
                <w:noProof/>
                <w:webHidden/>
              </w:rPr>
              <w:tab/>
            </w:r>
            <w:r>
              <w:rPr>
                <w:noProof/>
                <w:webHidden/>
              </w:rPr>
              <w:fldChar w:fldCharType="begin"/>
            </w:r>
            <w:r w:rsidR="001B4F37">
              <w:rPr>
                <w:noProof/>
                <w:webHidden/>
              </w:rPr>
              <w:instrText xml:space="preserve"> PAGEREF _Toc360628269 \h </w:instrText>
            </w:r>
            <w:r>
              <w:rPr>
                <w:noProof/>
                <w:webHidden/>
              </w:rPr>
            </w:r>
            <w:r>
              <w:rPr>
                <w:noProof/>
                <w:webHidden/>
              </w:rPr>
              <w:fldChar w:fldCharType="separate"/>
            </w:r>
            <w:r w:rsidR="001B4F37">
              <w:rPr>
                <w:noProof/>
                <w:webHidden/>
              </w:rPr>
              <w:t>43</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70" w:history="1">
            <w:r w:rsidR="001B4F37" w:rsidRPr="00917E1D">
              <w:rPr>
                <w:rStyle w:val="Lienhypertexte"/>
                <w:noProof/>
              </w:rPr>
              <w:t>9.  The LNG Industry in Years Ahead</w:t>
            </w:r>
            <w:r w:rsidR="001B4F37">
              <w:rPr>
                <w:noProof/>
                <w:webHidden/>
              </w:rPr>
              <w:tab/>
            </w:r>
            <w:r>
              <w:rPr>
                <w:noProof/>
                <w:webHidden/>
              </w:rPr>
              <w:fldChar w:fldCharType="begin"/>
            </w:r>
            <w:r w:rsidR="001B4F37">
              <w:rPr>
                <w:noProof/>
                <w:webHidden/>
              </w:rPr>
              <w:instrText xml:space="preserve"> PAGEREF _Toc360628270 \h </w:instrText>
            </w:r>
            <w:r>
              <w:rPr>
                <w:noProof/>
                <w:webHidden/>
              </w:rPr>
            </w:r>
            <w:r>
              <w:rPr>
                <w:noProof/>
                <w:webHidden/>
              </w:rPr>
              <w:fldChar w:fldCharType="separate"/>
            </w:r>
            <w:r w:rsidR="001B4F37">
              <w:rPr>
                <w:noProof/>
                <w:webHidden/>
              </w:rPr>
              <w:t>45</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71" w:history="1">
            <w:r w:rsidR="001B4F37" w:rsidRPr="00917E1D">
              <w:rPr>
                <w:rStyle w:val="Lienhypertexte"/>
                <w:noProof/>
              </w:rPr>
              <w:t>APPENDIX I: Table of Operational Liquefaction Plants</w:t>
            </w:r>
            <w:r w:rsidR="001B4F37">
              <w:rPr>
                <w:noProof/>
                <w:webHidden/>
              </w:rPr>
              <w:tab/>
            </w:r>
            <w:r>
              <w:rPr>
                <w:noProof/>
                <w:webHidden/>
              </w:rPr>
              <w:fldChar w:fldCharType="begin"/>
            </w:r>
            <w:r w:rsidR="001B4F37">
              <w:rPr>
                <w:noProof/>
                <w:webHidden/>
              </w:rPr>
              <w:instrText xml:space="preserve"> PAGEREF _Toc360628271 \h </w:instrText>
            </w:r>
            <w:r>
              <w:rPr>
                <w:noProof/>
                <w:webHidden/>
              </w:rPr>
            </w:r>
            <w:r>
              <w:rPr>
                <w:noProof/>
                <w:webHidden/>
              </w:rPr>
              <w:fldChar w:fldCharType="separate"/>
            </w:r>
            <w:r w:rsidR="001B4F37">
              <w:rPr>
                <w:noProof/>
                <w:webHidden/>
              </w:rPr>
              <w:t>47</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72" w:history="1">
            <w:r w:rsidR="001B4F37" w:rsidRPr="00917E1D">
              <w:rPr>
                <w:rStyle w:val="Lienhypertexte"/>
                <w:noProof/>
              </w:rPr>
              <w:t>APPENDIX II: Table of Liquefaction Plants Under Construction</w:t>
            </w:r>
            <w:r w:rsidR="001B4F37">
              <w:rPr>
                <w:noProof/>
                <w:webHidden/>
              </w:rPr>
              <w:tab/>
            </w:r>
            <w:r>
              <w:rPr>
                <w:noProof/>
                <w:webHidden/>
              </w:rPr>
              <w:fldChar w:fldCharType="begin"/>
            </w:r>
            <w:r w:rsidR="001B4F37">
              <w:rPr>
                <w:noProof/>
                <w:webHidden/>
              </w:rPr>
              <w:instrText xml:space="preserve"> PAGEREF _Toc360628272 \h </w:instrText>
            </w:r>
            <w:r>
              <w:rPr>
                <w:noProof/>
                <w:webHidden/>
              </w:rPr>
            </w:r>
            <w:r>
              <w:rPr>
                <w:noProof/>
                <w:webHidden/>
              </w:rPr>
              <w:fldChar w:fldCharType="separate"/>
            </w:r>
            <w:r w:rsidR="001B4F37">
              <w:rPr>
                <w:noProof/>
                <w:webHidden/>
              </w:rPr>
              <w:t>49</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73" w:history="1">
            <w:r w:rsidR="001B4F37" w:rsidRPr="00917E1D">
              <w:rPr>
                <w:rStyle w:val="Lienhypertexte"/>
                <w:noProof/>
              </w:rPr>
              <w:t>APPENDIX III: Table of Recently Commissioned LNG Receiving Terminals</w:t>
            </w:r>
            <w:r w:rsidR="001B4F37">
              <w:rPr>
                <w:noProof/>
                <w:webHidden/>
              </w:rPr>
              <w:tab/>
            </w:r>
            <w:r>
              <w:rPr>
                <w:noProof/>
                <w:webHidden/>
              </w:rPr>
              <w:fldChar w:fldCharType="begin"/>
            </w:r>
            <w:r w:rsidR="001B4F37">
              <w:rPr>
                <w:noProof/>
                <w:webHidden/>
              </w:rPr>
              <w:instrText xml:space="preserve"> PAGEREF _Toc360628273 \h </w:instrText>
            </w:r>
            <w:r>
              <w:rPr>
                <w:noProof/>
                <w:webHidden/>
              </w:rPr>
            </w:r>
            <w:r>
              <w:rPr>
                <w:noProof/>
                <w:webHidden/>
              </w:rPr>
              <w:fldChar w:fldCharType="separate"/>
            </w:r>
            <w:r w:rsidR="001B4F37">
              <w:rPr>
                <w:noProof/>
                <w:webHidden/>
              </w:rPr>
              <w:t>50</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74" w:history="1">
            <w:r w:rsidR="001B4F37" w:rsidRPr="00917E1D">
              <w:rPr>
                <w:rStyle w:val="Lienhypertexte"/>
                <w:noProof/>
              </w:rPr>
              <w:t>APPENDIX IV: Table of LNG Receiving Terminals Under Construction</w:t>
            </w:r>
            <w:r w:rsidR="001B4F37">
              <w:rPr>
                <w:noProof/>
                <w:webHidden/>
              </w:rPr>
              <w:tab/>
            </w:r>
            <w:r>
              <w:rPr>
                <w:noProof/>
                <w:webHidden/>
              </w:rPr>
              <w:fldChar w:fldCharType="begin"/>
            </w:r>
            <w:r w:rsidR="001B4F37">
              <w:rPr>
                <w:noProof/>
                <w:webHidden/>
              </w:rPr>
              <w:instrText xml:space="preserve"> PAGEREF _Toc360628274 \h </w:instrText>
            </w:r>
            <w:r>
              <w:rPr>
                <w:noProof/>
                <w:webHidden/>
              </w:rPr>
            </w:r>
            <w:r>
              <w:rPr>
                <w:noProof/>
                <w:webHidden/>
              </w:rPr>
              <w:fldChar w:fldCharType="separate"/>
            </w:r>
            <w:r w:rsidR="001B4F37">
              <w:rPr>
                <w:noProof/>
                <w:webHidden/>
              </w:rPr>
              <w:t>52</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75" w:history="1">
            <w:r w:rsidR="001B4F37" w:rsidRPr="00917E1D">
              <w:rPr>
                <w:rStyle w:val="Lienhypertexte"/>
                <w:noProof/>
              </w:rPr>
              <w:t>Sources</w:t>
            </w:r>
            <w:r w:rsidR="001B4F37">
              <w:rPr>
                <w:noProof/>
                <w:webHidden/>
              </w:rPr>
              <w:tab/>
            </w:r>
            <w:r>
              <w:rPr>
                <w:noProof/>
                <w:webHidden/>
              </w:rPr>
              <w:fldChar w:fldCharType="begin"/>
            </w:r>
            <w:r w:rsidR="001B4F37">
              <w:rPr>
                <w:noProof/>
                <w:webHidden/>
              </w:rPr>
              <w:instrText xml:space="preserve"> PAGEREF _Toc360628275 \h </w:instrText>
            </w:r>
            <w:r>
              <w:rPr>
                <w:noProof/>
                <w:webHidden/>
              </w:rPr>
            </w:r>
            <w:r>
              <w:rPr>
                <w:noProof/>
                <w:webHidden/>
              </w:rPr>
              <w:fldChar w:fldCharType="separate"/>
            </w:r>
            <w:r w:rsidR="001B4F37">
              <w:rPr>
                <w:noProof/>
                <w:webHidden/>
              </w:rPr>
              <w:t>53</w:t>
            </w:r>
            <w:r>
              <w:rPr>
                <w:noProof/>
                <w:webHidden/>
              </w:rPr>
              <w:fldChar w:fldCharType="end"/>
            </w:r>
          </w:hyperlink>
        </w:p>
        <w:p w:rsidR="001B4F37" w:rsidRDefault="00073EEA">
          <w:pPr>
            <w:pStyle w:val="TM1"/>
            <w:tabs>
              <w:tab w:val="right" w:leader="dot" w:pos="10142"/>
            </w:tabs>
            <w:rPr>
              <w:rFonts w:asciiTheme="minorHAnsi" w:eastAsiaTheme="minorEastAsia" w:hAnsiTheme="minorHAnsi" w:cstheme="minorBidi"/>
              <w:b w:val="0"/>
              <w:bCs w:val="0"/>
              <w:caps w:val="0"/>
              <w:noProof/>
              <w:sz w:val="22"/>
              <w:szCs w:val="22"/>
              <w:lang w:eastAsia="en-US"/>
            </w:rPr>
          </w:pPr>
          <w:hyperlink w:anchor="_Toc360628276" w:history="1">
            <w:r w:rsidR="001B4F37" w:rsidRPr="00917E1D">
              <w:rPr>
                <w:rStyle w:val="Lienhypertexte"/>
                <w:noProof/>
              </w:rPr>
              <w:t>Acknowledgment</w:t>
            </w:r>
            <w:r w:rsidR="001B4F37">
              <w:rPr>
                <w:noProof/>
                <w:webHidden/>
              </w:rPr>
              <w:tab/>
            </w:r>
            <w:r>
              <w:rPr>
                <w:noProof/>
                <w:webHidden/>
              </w:rPr>
              <w:fldChar w:fldCharType="begin"/>
            </w:r>
            <w:r w:rsidR="001B4F37">
              <w:rPr>
                <w:noProof/>
                <w:webHidden/>
              </w:rPr>
              <w:instrText xml:space="preserve"> PAGEREF _Toc360628276 \h </w:instrText>
            </w:r>
            <w:r>
              <w:rPr>
                <w:noProof/>
                <w:webHidden/>
              </w:rPr>
            </w:r>
            <w:r>
              <w:rPr>
                <w:noProof/>
                <w:webHidden/>
              </w:rPr>
              <w:fldChar w:fldCharType="separate"/>
            </w:r>
            <w:r w:rsidR="001B4F37">
              <w:rPr>
                <w:noProof/>
                <w:webHidden/>
              </w:rPr>
              <w:t>54</w:t>
            </w:r>
            <w:r>
              <w:rPr>
                <w:noProof/>
                <w:webHidden/>
              </w:rPr>
              <w:fldChar w:fldCharType="end"/>
            </w:r>
          </w:hyperlink>
        </w:p>
        <w:p w:rsidR="00627EEA" w:rsidRDefault="00073EEA">
          <w:r w:rsidRPr="00DF69D1">
            <w:rPr>
              <w:rFonts w:cs="Arial"/>
              <w:sz w:val="24"/>
              <w:szCs w:val="24"/>
            </w:rPr>
            <w:fldChar w:fldCharType="end"/>
          </w:r>
        </w:p>
      </w:sdtContent>
    </w:sdt>
    <w:p w:rsidR="00627EEA" w:rsidRPr="00D34C55" w:rsidRDefault="00073EEA" w:rsidP="00D34C55">
      <w:pPr>
        <w:jc w:val="both"/>
        <w:rPr>
          <w:rFonts w:eastAsia="BatangChe" w:cs="Arial"/>
          <w:sz w:val="18"/>
          <w:szCs w:val="18"/>
        </w:rPr>
      </w:pPr>
      <w:r w:rsidRPr="00D34C55">
        <w:rPr>
          <w:rFonts w:eastAsia="BatangChe" w:cs="Arial"/>
          <w:sz w:val="18"/>
          <w:szCs w:val="18"/>
        </w:rPr>
        <w:fldChar w:fldCharType="begin"/>
      </w:r>
      <w:r w:rsidR="009E2AB2" w:rsidRPr="00D34C55">
        <w:rPr>
          <w:rFonts w:eastAsia="BatangChe" w:cs="Arial"/>
          <w:sz w:val="18"/>
          <w:szCs w:val="18"/>
        </w:rPr>
        <w:instrText xml:space="preserve"> TOC \o "1-2" \h \z \u </w:instrText>
      </w:r>
      <w:r w:rsidRPr="00D34C55">
        <w:rPr>
          <w:rFonts w:eastAsia="BatangChe" w:cs="Arial"/>
          <w:sz w:val="18"/>
          <w:szCs w:val="18"/>
        </w:rPr>
        <w:fldChar w:fldCharType="separate"/>
      </w:r>
    </w:p>
    <w:p w:rsidR="009E2AB2" w:rsidRPr="00D34C55" w:rsidRDefault="009E2AB2"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1B4F37" w:rsidRDefault="001B4F37" w:rsidP="00D34C55">
      <w:pPr>
        <w:jc w:val="both"/>
        <w:rPr>
          <w:rFonts w:eastAsia="BatangChe" w:cs="Arial"/>
          <w:sz w:val="18"/>
          <w:szCs w:val="18"/>
        </w:rPr>
      </w:pPr>
    </w:p>
    <w:p w:rsidR="001B4F37" w:rsidRDefault="001B4F37" w:rsidP="00D34C55">
      <w:pPr>
        <w:jc w:val="both"/>
        <w:rPr>
          <w:rFonts w:eastAsia="BatangChe" w:cs="Arial"/>
          <w:sz w:val="18"/>
          <w:szCs w:val="18"/>
        </w:rPr>
      </w:pPr>
    </w:p>
    <w:p w:rsidR="001B4F37" w:rsidRDefault="001B4F37" w:rsidP="00D34C55">
      <w:pPr>
        <w:jc w:val="both"/>
        <w:rPr>
          <w:rFonts w:eastAsia="BatangChe" w:cs="Arial"/>
          <w:sz w:val="18"/>
          <w:szCs w:val="18"/>
        </w:rPr>
      </w:pPr>
    </w:p>
    <w:p w:rsidR="001B4F37" w:rsidRDefault="001B4F37" w:rsidP="00D34C55">
      <w:pPr>
        <w:jc w:val="both"/>
        <w:rPr>
          <w:rFonts w:eastAsia="BatangChe" w:cs="Arial"/>
          <w:sz w:val="18"/>
          <w:szCs w:val="18"/>
        </w:rPr>
      </w:pPr>
    </w:p>
    <w:p w:rsidR="001B4F37" w:rsidRDefault="001B4F37" w:rsidP="00D34C55">
      <w:pPr>
        <w:jc w:val="both"/>
        <w:rPr>
          <w:rFonts w:eastAsia="BatangChe" w:cs="Arial"/>
          <w:sz w:val="18"/>
          <w:szCs w:val="18"/>
        </w:rPr>
      </w:pPr>
    </w:p>
    <w:p w:rsidR="001B4F37" w:rsidRDefault="001B4F37" w:rsidP="00D34C55">
      <w:pPr>
        <w:jc w:val="both"/>
        <w:rPr>
          <w:rFonts w:eastAsia="BatangChe" w:cs="Arial"/>
          <w:sz w:val="18"/>
          <w:szCs w:val="18"/>
        </w:rPr>
      </w:pPr>
    </w:p>
    <w:p w:rsidR="001B4F37" w:rsidRPr="00D34C55" w:rsidRDefault="001B4F37"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Default="00D34C55" w:rsidP="00D34C55">
      <w:pPr>
        <w:jc w:val="both"/>
        <w:rPr>
          <w:rFonts w:eastAsia="BatangChe" w:cs="Arial"/>
          <w:sz w:val="18"/>
          <w:szCs w:val="18"/>
        </w:rPr>
      </w:pPr>
    </w:p>
    <w:p w:rsidR="00D34C55" w:rsidRPr="00D34C55" w:rsidRDefault="00D34C55" w:rsidP="00D34C55">
      <w:pPr>
        <w:jc w:val="both"/>
        <w:rPr>
          <w:rFonts w:eastAsia="BatangChe" w:cs="Arial"/>
          <w:sz w:val="18"/>
          <w:szCs w:val="18"/>
        </w:rPr>
      </w:pPr>
    </w:p>
    <w:p w:rsidR="00D34C55" w:rsidRDefault="00073EEA" w:rsidP="001F63EA">
      <w:pPr>
        <w:jc w:val="both"/>
        <w:rPr>
          <w:rFonts w:eastAsia="BatangChe" w:cs="Arial"/>
          <w:sz w:val="18"/>
          <w:szCs w:val="18"/>
        </w:rPr>
      </w:pPr>
      <w:r w:rsidRPr="00D34C55">
        <w:rPr>
          <w:rFonts w:eastAsia="BatangChe" w:cs="Arial"/>
          <w:sz w:val="18"/>
          <w:szCs w:val="18"/>
        </w:rPr>
        <w:fldChar w:fldCharType="end"/>
      </w:r>
      <w:r w:rsidR="00D34C55" w:rsidRPr="00D34C55">
        <w:rPr>
          <w:rFonts w:eastAsia="BatangChe" w:cs="Arial"/>
          <w:sz w:val="18"/>
          <w:szCs w:val="18"/>
        </w:rPr>
        <w:t>This publication is produced under the auspices of the INTERNATIONAL GAS UNION (IGU) which</w:t>
      </w:r>
      <w:r w:rsidR="00D34C55">
        <w:rPr>
          <w:rFonts w:eastAsia="BatangChe" w:cs="Arial"/>
          <w:sz w:val="18"/>
          <w:szCs w:val="18"/>
        </w:rPr>
        <w:t xml:space="preserve"> </w:t>
      </w:r>
      <w:r w:rsidR="00D34C55" w:rsidRPr="00D34C55">
        <w:rPr>
          <w:rFonts w:eastAsia="BatangChe" w:cs="Arial"/>
          <w:sz w:val="18"/>
          <w:szCs w:val="18"/>
        </w:rPr>
        <w:t>holds the copyright.</w:t>
      </w:r>
    </w:p>
    <w:p w:rsidR="00D34C55" w:rsidRPr="00D34C55" w:rsidRDefault="00D34C55" w:rsidP="001F63EA">
      <w:pPr>
        <w:jc w:val="both"/>
        <w:rPr>
          <w:rFonts w:eastAsia="BatangChe" w:cs="Arial"/>
          <w:sz w:val="18"/>
          <w:szCs w:val="18"/>
        </w:rPr>
      </w:pPr>
    </w:p>
    <w:p w:rsidR="00D34C55" w:rsidRDefault="00D34C55" w:rsidP="001F63EA">
      <w:pPr>
        <w:jc w:val="both"/>
        <w:rPr>
          <w:rFonts w:eastAsia="BatangChe" w:cs="Arial"/>
          <w:sz w:val="18"/>
          <w:szCs w:val="18"/>
        </w:rPr>
      </w:pPr>
      <w:r w:rsidRPr="00D34C55">
        <w:rPr>
          <w:rFonts w:eastAsia="BatangChe" w:cs="Arial"/>
          <w:sz w:val="18"/>
          <w:szCs w:val="18"/>
        </w:rPr>
        <w:t>This publication may not be reproduced in whole or in part without the written permission of the IGU.</w:t>
      </w:r>
    </w:p>
    <w:p w:rsidR="00D34C55" w:rsidRPr="00D34C55" w:rsidRDefault="00D34C55" w:rsidP="001F63EA">
      <w:pPr>
        <w:jc w:val="both"/>
        <w:rPr>
          <w:rFonts w:eastAsia="BatangChe" w:cs="Arial"/>
          <w:sz w:val="18"/>
          <w:szCs w:val="18"/>
        </w:rPr>
      </w:pPr>
    </w:p>
    <w:p w:rsidR="00D34C55" w:rsidRDefault="00D34C55" w:rsidP="001F63EA">
      <w:pPr>
        <w:jc w:val="both"/>
        <w:rPr>
          <w:rFonts w:eastAsia="BatangChe" w:cs="Arial"/>
          <w:sz w:val="18"/>
          <w:szCs w:val="18"/>
        </w:rPr>
      </w:pPr>
      <w:r w:rsidRPr="00D34C55">
        <w:rPr>
          <w:rFonts w:eastAsia="BatangChe" w:cs="Arial"/>
          <w:sz w:val="18"/>
          <w:szCs w:val="18"/>
        </w:rPr>
        <w:t>However, irrespective of the above, established journals and periodicals shall be permitted to reproduce</w:t>
      </w:r>
      <w:r>
        <w:rPr>
          <w:rFonts w:eastAsia="BatangChe" w:cs="Arial"/>
          <w:sz w:val="18"/>
          <w:szCs w:val="18"/>
        </w:rPr>
        <w:t xml:space="preserve"> </w:t>
      </w:r>
      <w:r w:rsidRPr="00D34C55">
        <w:rPr>
          <w:rFonts w:eastAsia="BatangChe" w:cs="Arial"/>
          <w:sz w:val="18"/>
          <w:szCs w:val="18"/>
        </w:rPr>
        <w:t>this publication, or part of it, abbreviated or edited form, provided that credit is given to IGU.</w:t>
      </w:r>
    </w:p>
    <w:p w:rsidR="00D34C55" w:rsidRDefault="00D34C55" w:rsidP="001F63EA">
      <w:pPr>
        <w:jc w:val="both"/>
        <w:rPr>
          <w:rFonts w:eastAsia="BatangChe" w:cs="Arial"/>
          <w:sz w:val="18"/>
          <w:szCs w:val="18"/>
        </w:rPr>
      </w:pPr>
    </w:p>
    <w:p w:rsidR="00D34C55" w:rsidRDefault="00D34C55" w:rsidP="001F63EA">
      <w:pPr>
        <w:jc w:val="both"/>
        <w:rPr>
          <w:rFonts w:eastAsia="BatangChe" w:cs="Arial"/>
          <w:sz w:val="18"/>
          <w:szCs w:val="18"/>
        </w:rPr>
      </w:pPr>
      <w:r>
        <w:rPr>
          <w:rFonts w:eastAsia="BatangChe" w:cs="Arial"/>
          <w:sz w:val="18"/>
          <w:szCs w:val="18"/>
        </w:rPr>
        <w:t xml:space="preserve">Disclaimer: </w:t>
      </w:r>
      <w:r w:rsidR="00D07E97">
        <w:rPr>
          <w:rFonts w:eastAsia="BatangChe" w:cs="Arial"/>
          <w:sz w:val="18"/>
          <w:szCs w:val="18"/>
        </w:rPr>
        <w:t xml:space="preserve">This report was prepared </w:t>
      </w:r>
      <w:r w:rsidR="001F63EA" w:rsidRPr="001F63EA">
        <w:rPr>
          <w:rFonts w:eastAsia="BatangChe" w:cs="Arial"/>
          <w:sz w:val="18"/>
          <w:szCs w:val="18"/>
        </w:rPr>
        <w:t xml:space="preserve">utilizing reasonable care and skill in applying methods of analysis consistent with normal industry practice, based on information available at the time such materials were created.  To the extent these materials contain forecasts or forward looking statements, such statements are inherently uncertain because of events or combinations of events that cannot reasonably be foreseen, including the actions of governments, individuals, third parties and market competitors.   </w:t>
      </w:r>
      <w:r w:rsidR="00D07E97">
        <w:rPr>
          <w:rFonts w:eastAsia="BatangChe" w:cs="Arial"/>
          <w:sz w:val="18"/>
          <w:szCs w:val="18"/>
        </w:rPr>
        <w:t xml:space="preserve">Forecasts are specifically based on projects or assets that have been commercially sanctioned or have received a final investment decision by the owner or owners. </w:t>
      </w:r>
    </w:p>
    <w:p w:rsidR="00954A0E" w:rsidRDefault="00954A0E" w:rsidP="001F63EA">
      <w:pPr>
        <w:jc w:val="both"/>
        <w:rPr>
          <w:rFonts w:eastAsia="BatangChe" w:cs="Arial"/>
          <w:sz w:val="18"/>
          <w:szCs w:val="18"/>
        </w:rPr>
      </w:pPr>
    </w:p>
    <w:p w:rsidR="001B4F37" w:rsidRPr="001B4F37" w:rsidRDefault="00954A0E" w:rsidP="001B4F37">
      <w:pPr>
        <w:rPr>
          <w:sz w:val="18"/>
          <w:szCs w:val="18"/>
        </w:rPr>
      </w:pPr>
      <w:r>
        <w:rPr>
          <w:rFonts w:eastAsia="BatangChe" w:cs="Arial"/>
          <w:sz w:val="18"/>
          <w:szCs w:val="18"/>
        </w:rPr>
        <w:t>Credit Note: Cover page image is a pho</w:t>
      </w:r>
      <w:r w:rsidR="00DF69D1">
        <w:rPr>
          <w:rFonts w:eastAsia="BatangChe" w:cs="Arial"/>
          <w:sz w:val="18"/>
          <w:szCs w:val="18"/>
        </w:rPr>
        <w:t xml:space="preserve">tograph of Yemen LNG in </w:t>
      </w:r>
      <w:proofErr w:type="spellStart"/>
      <w:r w:rsidR="00DF69D1" w:rsidRPr="001B4F37">
        <w:rPr>
          <w:rFonts w:eastAsia="BatangChe" w:cs="Arial"/>
          <w:sz w:val="18"/>
          <w:szCs w:val="18"/>
        </w:rPr>
        <w:t>Balhaf</w:t>
      </w:r>
      <w:proofErr w:type="spellEnd"/>
      <w:r w:rsidR="00DF69D1" w:rsidRPr="001B4F37">
        <w:rPr>
          <w:rFonts w:eastAsia="BatangChe" w:cs="Arial"/>
          <w:sz w:val="18"/>
          <w:szCs w:val="18"/>
        </w:rPr>
        <w:t xml:space="preserve">, </w:t>
      </w:r>
      <w:r w:rsidRPr="001B4F37">
        <w:rPr>
          <w:rFonts w:eastAsia="BatangChe" w:cs="Arial"/>
          <w:sz w:val="18"/>
          <w:szCs w:val="18"/>
        </w:rPr>
        <w:t xml:space="preserve">Yemen. </w:t>
      </w:r>
      <w:r w:rsidR="001B4F37" w:rsidRPr="001B4F37">
        <w:rPr>
          <w:sz w:val="18"/>
          <w:szCs w:val="18"/>
        </w:rPr>
        <w:t>© Gonzalez Thierry / TOTAL</w:t>
      </w:r>
    </w:p>
    <w:p w:rsidR="00954A0E" w:rsidRPr="001B4F37" w:rsidRDefault="00954A0E" w:rsidP="001F63EA">
      <w:pPr>
        <w:jc w:val="both"/>
        <w:rPr>
          <w:rFonts w:eastAsia="BatangChe" w:cs="Arial"/>
          <w:sz w:val="18"/>
          <w:szCs w:val="18"/>
        </w:rPr>
      </w:pPr>
    </w:p>
    <w:p w:rsidR="00E202C5" w:rsidRPr="00627EEA" w:rsidRDefault="00D34C55" w:rsidP="00D34C55">
      <w:pPr>
        <w:pStyle w:val="Titre1"/>
      </w:pPr>
      <w:r w:rsidRPr="001B4F37">
        <w:rPr>
          <w:rFonts w:ascii="TimesNewRomanPS-ItalicMT" w:hAnsi="TimesNewRomanPS-ItalicMT" w:cs="TimesNewRomanPS-ItalicMT"/>
          <w:i/>
          <w:iCs/>
          <w:color w:val="auto"/>
          <w:sz w:val="26"/>
          <w:szCs w:val="26"/>
          <w:lang w:eastAsia="en-US"/>
        </w:rPr>
        <w:br w:type="page"/>
      </w:r>
      <w:bookmarkStart w:id="2" w:name="_Toc360628225"/>
      <w:r w:rsidR="00E202C5" w:rsidRPr="00627EEA">
        <w:lastRenderedPageBreak/>
        <w:t>1.  Message from Chairman of the International Gas Union</w:t>
      </w:r>
      <w:bookmarkEnd w:id="2"/>
    </w:p>
    <w:p w:rsidR="00D87C27" w:rsidRDefault="00D87C27" w:rsidP="00D87C27">
      <w:pPr>
        <w:tabs>
          <w:tab w:val="left" w:pos="9498"/>
        </w:tabs>
        <w:ind w:right="707"/>
        <w:rPr>
          <w:rFonts w:cs="Arial"/>
        </w:rPr>
      </w:pPr>
      <w:r>
        <w:rPr>
          <w:rFonts w:cs="Arial"/>
          <w:noProof/>
          <w:sz w:val="19"/>
          <w:szCs w:val="19"/>
          <w:lang w:val="fr-FR" w:eastAsia="zh-CN"/>
        </w:rPr>
        <w:drawing>
          <wp:inline distT="0" distB="0" distL="0" distR="0">
            <wp:extent cx="1066800" cy="1600262"/>
            <wp:effectExtent l="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studio 8.jpg"/>
                    <pic:cNvPicPr/>
                  </pic:nvPicPr>
                  <pic:blipFill>
                    <a:blip r:embed="rId1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66556" cy="1599896"/>
                    </a:xfrm>
                    <a:prstGeom prst="rect">
                      <a:avLst/>
                    </a:prstGeom>
                  </pic:spPr>
                </pic:pic>
              </a:graphicData>
            </a:graphic>
          </wp:inline>
        </w:drawing>
      </w:r>
    </w:p>
    <w:p w:rsidR="00D87C27" w:rsidRDefault="00D87C27" w:rsidP="00D87C27">
      <w:pPr>
        <w:tabs>
          <w:tab w:val="left" w:pos="9498"/>
        </w:tabs>
        <w:ind w:right="707"/>
        <w:rPr>
          <w:rFonts w:cs="Arial"/>
        </w:rPr>
      </w:pPr>
    </w:p>
    <w:p w:rsidR="00D87C27" w:rsidRPr="00D87C27" w:rsidRDefault="00D87C27" w:rsidP="00D87C27">
      <w:pPr>
        <w:tabs>
          <w:tab w:val="left" w:pos="9498"/>
        </w:tabs>
        <w:ind w:right="707"/>
        <w:rPr>
          <w:rFonts w:cs="Arial"/>
          <w:sz w:val="18"/>
          <w:szCs w:val="18"/>
        </w:rPr>
      </w:pPr>
      <w:r w:rsidRPr="00D87C27">
        <w:rPr>
          <w:rFonts w:cs="Arial"/>
          <w:sz w:val="18"/>
          <w:szCs w:val="18"/>
        </w:rPr>
        <w:t>Dear colleagues,</w:t>
      </w:r>
    </w:p>
    <w:p w:rsidR="00D87C27" w:rsidRPr="00D87C27" w:rsidRDefault="00D87C27" w:rsidP="00D87C27">
      <w:pPr>
        <w:rPr>
          <w:rFonts w:cs="Arial"/>
          <w:sz w:val="18"/>
          <w:szCs w:val="18"/>
        </w:rPr>
      </w:pPr>
    </w:p>
    <w:p w:rsidR="00D87C27" w:rsidRPr="00D87C27" w:rsidRDefault="00D87C27" w:rsidP="00D87C27">
      <w:pPr>
        <w:jc w:val="both"/>
        <w:rPr>
          <w:rFonts w:cs="Arial"/>
          <w:sz w:val="18"/>
          <w:szCs w:val="18"/>
        </w:rPr>
      </w:pPr>
      <w:r w:rsidRPr="00D87C27">
        <w:rPr>
          <w:rFonts w:cs="Arial"/>
          <w:sz w:val="18"/>
          <w:szCs w:val="18"/>
        </w:rPr>
        <w:t xml:space="preserve">It is a genuine pleasure for me to present you with this first LNG Report of the IGU French Triennium. This report will be followed by other editions in 2014 and 2015, where you will find comprehensive overviews of LNG market developments for each of these years. </w:t>
      </w:r>
    </w:p>
    <w:p w:rsidR="00D87C27" w:rsidRPr="00D87C27" w:rsidRDefault="00D87C27" w:rsidP="00D87C27">
      <w:pPr>
        <w:jc w:val="both"/>
        <w:rPr>
          <w:rFonts w:cs="Arial"/>
          <w:sz w:val="18"/>
          <w:szCs w:val="18"/>
        </w:rPr>
      </w:pPr>
    </w:p>
    <w:p w:rsidR="00D87C27" w:rsidRPr="00D87C27" w:rsidRDefault="00D87C27" w:rsidP="00D87C27">
      <w:pPr>
        <w:jc w:val="both"/>
        <w:rPr>
          <w:rFonts w:cs="Arial"/>
          <w:sz w:val="18"/>
          <w:szCs w:val="18"/>
        </w:rPr>
      </w:pPr>
      <w:r w:rsidRPr="00D87C27">
        <w:rPr>
          <w:rFonts w:cs="Arial"/>
          <w:sz w:val="18"/>
          <w:szCs w:val="18"/>
        </w:rPr>
        <w:t>The current report reviews the situation of the global LNG market throughout 2012,</w:t>
      </w:r>
      <w:r w:rsidR="005F509B">
        <w:rPr>
          <w:rFonts w:cs="Arial"/>
          <w:sz w:val="18"/>
          <w:szCs w:val="18"/>
        </w:rPr>
        <w:t xml:space="preserve"> </w:t>
      </w:r>
      <w:r w:rsidRPr="00D87C27">
        <w:rPr>
          <w:rFonts w:cs="Arial"/>
          <w:sz w:val="18"/>
          <w:szCs w:val="18"/>
        </w:rPr>
        <w:t xml:space="preserve">up to the first quarter of 2013. </w:t>
      </w:r>
    </w:p>
    <w:p w:rsidR="00D87C27" w:rsidRPr="00D87C27" w:rsidRDefault="00D87C27" w:rsidP="00D87C27">
      <w:pPr>
        <w:jc w:val="both"/>
        <w:rPr>
          <w:rFonts w:cs="Arial"/>
          <w:sz w:val="18"/>
          <w:szCs w:val="18"/>
        </w:rPr>
      </w:pPr>
    </w:p>
    <w:p w:rsidR="00D87C27" w:rsidRPr="00D87C27" w:rsidRDefault="00D87C27" w:rsidP="00D87C27">
      <w:pPr>
        <w:jc w:val="both"/>
        <w:rPr>
          <w:rFonts w:cs="Arial"/>
          <w:sz w:val="18"/>
          <w:szCs w:val="18"/>
        </w:rPr>
      </w:pPr>
      <w:r w:rsidRPr="00D87C27">
        <w:rPr>
          <w:rFonts w:cs="Arial"/>
          <w:sz w:val="18"/>
          <w:szCs w:val="18"/>
        </w:rPr>
        <w:t>Two special reports have been included into this edition: “North American LNG Prospects and Challenges” and “LNG as Fuel for Transportation”.</w:t>
      </w:r>
    </w:p>
    <w:p w:rsidR="00D87C27" w:rsidRPr="00D87C27" w:rsidRDefault="00D87C27" w:rsidP="00D87C27">
      <w:pPr>
        <w:jc w:val="both"/>
        <w:rPr>
          <w:rFonts w:cs="Arial"/>
          <w:sz w:val="18"/>
          <w:szCs w:val="18"/>
        </w:rPr>
      </w:pPr>
    </w:p>
    <w:p w:rsidR="00D87C27" w:rsidRPr="00D87C27" w:rsidRDefault="00D87C27" w:rsidP="00D87C27">
      <w:pPr>
        <w:jc w:val="both"/>
        <w:rPr>
          <w:rFonts w:eastAsia="BatangChe" w:cs="Arial"/>
          <w:sz w:val="18"/>
          <w:szCs w:val="18"/>
        </w:rPr>
      </w:pPr>
      <w:r>
        <w:rPr>
          <w:rFonts w:eastAsia="BatangChe" w:cs="Arial"/>
          <w:sz w:val="18"/>
          <w:szCs w:val="18"/>
        </w:rPr>
        <w:t xml:space="preserve">The </w:t>
      </w:r>
      <w:r w:rsidRPr="00D87C27">
        <w:rPr>
          <w:rFonts w:eastAsia="BatangChe" w:cs="Arial"/>
          <w:sz w:val="18"/>
          <w:szCs w:val="18"/>
        </w:rPr>
        <w:t xml:space="preserve">LNG market is a major subject of discussion for IGU experts. In the framework of its unique working structure - featuring 14 </w:t>
      </w:r>
      <w:proofErr w:type="spellStart"/>
      <w:r w:rsidRPr="00D87C27">
        <w:rPr>
          <w:rFonts w:eastAsia="BatangChe" w:cs="Arial"/>
          <w:sz w:val="18"/>
          <w:szCs w:val="18"/>
        </w:rPr>
        <w:t>Programme</w:t>
      </w:r>
      <w:proofErr w:type="spellEnd"/>
      <w:r w:rsidRPr="00D87C27">
        <w:rPr>
          <w:rFonts w:eastAsia="BatangChe" w:cs="Arial"/>
          <w:sz w:val="18"/>
          <w:szCs w:val="18"/>
        </w:rPr>
        <w:t xml:space="preserve"> Committees, Study Groups and Task Forces -, the IGU </w:t>
      </w:r>
      <w:proofErr w:type="spellStart"/>
      <w:r w:rsidRPr="00D87C27">
        <w:rPr>
          <w:rFonts w:eastAsia="BatangChe" w:cs="Arial"/>
          <w:sz w:val="18"/>
          <w:szCs w:val="18"/>
        </w:rPr>
        <w:t>Programme</w:t>
      </w:r>
      <w:proofErr w:type="spellEnd"/>
      <w:r w:rsidRPr="00D87C27">
        <w:rPr>
          <w:rFonts w:eastAsia="BatangChe" w:cs="Arial"/>
          <w:sz w:val="18"/>
          <w:szCs w:val="18"/>
        </w:rPr>
        <w:t xml:space="preserve"> Committee D develops LNG expertise by bringing together around a hundred international experts. The World LNG Report - 2013 Edition presents the first results of their common work and expertise.</w:t>
      </w:r>
    </w:p>
    <w:p w:rsidR="00D87C27" w:rsidRPr="00D87C27" w:rsidRDefault="00D87C27" w:rsidP="00D87C27">
      <w:pPr>
        <w:jc w:val="both"/>
        <w:rPr>
          <w:rFonts w:eastAsia="BatangChe" w:cs="Arial"/>
          <w:sz w:val="18"/>
          <w:szCs w:val="18"/>
        </w:rPr>
      </w:pPr>
    </w:p>
    <w:p w:rsidR="00D87C27" w:rsidRPr="00D87C27" w:rsidRDefault="00D87C27" w:rsidP="00D87C27">
      <w:pPr>
        <w:jc w:val="both"/>
        <w:rPr>
          <w:rFonts w:eastAsia="BatangChe" w:cs="Arial"/>
          <w:sz w:val="18"/>
          <w:szCs w:val="18"/>
        </w:rPr>
      </w:pPr>
      <w:r w:rsidRPr="00D87C27">
        <w:rPr>
          <w:rFonts w:eastAsia="BatangChe" w:cs="Arial"/>
          <w:sz w:val="18"/>
          <w:szCs w:val="18"/>
        </w:rPr>
        <w:t xml:space="preserve">The 2012-2015 Triennium is focusing on small-scale LNG, LNG as fuel, remote LNG, and LNG life cycle analysis. </w:t>
      </w:r>
    </w:p>
    <w:p w:rsidR="00D87C27" w:rsidRPr="00D87C27" w:rsidRDefault="00D87C27" w:rsidP="00D87C27">
      <w:pPr>
        <w:jc w:val="both"/>
        <w:rPr>
          <w:rFonts w:cs="Arial"/>
          <w:sz w:val="18"/>
          <w:szCs w:val="18"/>
        </w:rPr>
      </w:pPr>
    </w:p>
    <w:p w:rsidR="00D87C27" w:rsidRPr="00D87C27" w:rsidRDefault="00D87C27" w:rsidP="00D87C27">
      <w:pPr>
        <w:jc w:val="both"/>
        <w:rPr>
          <w:rFonts w:eastAsia="BatangChe" w:cs="Arial"/>
          <w:sz w:val="18"/>
          <w:szCs w:val="18"/>
        </w:rPr>
      </w:pPr>
      <w:r w:rsidRPr="00D87C27">
        <w:rPr>
          <w:rFonts w:eastAsia="BatangChe" w:cs="Arial"/>
          <w:sz w:val="18"/>
          <w:szCs w:val="18"/>
        </w:rPr>
        <w:t xml:space="preserve">The role and place of gas on the global energy arena has been strengthened in past decades. Gas, the cleanest fossil fuel and the only one expected to grow, is being recognized as the key fuel for meeting the challenge of rising energy demands. </w:t>
      </w:r>
    </w:p>
    <w:p w:rsidR="00D87C27" w:rsidRPr="00D87C27" w:rsidRDefault="00D87C27" w:rsidP="00D87C27">
      <w:pPr>
        <w:jc w:val="both"/>
        <w:rPr>
          <w:rFonts w:eastAsia="BatangChe" w:cs="Arial"/>
          <w:sz w:val="18"/>
          <w:szCs w:val="18"/>
        </w:rPr>
      </w:pPr>
    </w:p>
    <w:p w:rsidR="00D87C27" w:rsidRPr="00D87C27" w:rsidRDefault="00D87C27" w:rsidP="00D87C27">
      <w:pPr>
        <w:jc w:val="both"/>
        <w:rPr>
          <w:rFonts w:eastAsia="BatangChe" w:cs="Arial"/>
          <w:sz w:val="18"/>
          <w:szCs w:val="18"/>
        </w:rPr>
      </w:pPr>
      <w:r w:rsidRPr="00D87C27">
        <w:rPr>
          <w:rFonts w:eastAsia="BatangChe" w:cs="Arial"/>
          <w:sz w:val="18"/>
          <w:szCs w:val="18"/>
        </w:rPr>
        <w:t xml:space="preserve">The LNG sector follows this upwards trend as the main driver of globalization of the gas industry. In 20 years, the LNG trade has evolved from an intra-regional status to achieve worldwide growth at a 10% rate a year. It is expected to continue to grow, albeit at a slower pace, driven by new technology developments and an extreme elasticity of the market. </w:t>
      </w:r>
    </w:p>
    <w:p w:rsidR="00D87C27" w:rsidRPr="00D87C27" w:rsidRDefault="00D87C27" w:rsidP="00D87C27">
      <w:pPr>
        <w:jc w:val="both"/>
        <w:rPr>
          <w:rFonts w:eastAsia="BatangChe" w:cs="Arial"/>
          <w:sz w:val="18"/>
          <w:szCs w:val="18"/>
        </w:rPr>
      </w:pPr>
    </w:p>
    <w:p w:rsidR="00D87C27" w:rsidRPr="00D87C27" w:rsidRDefault="00D87C27" w:rsidP="00D87C27">
      <w:pPr>
        <w:jc w:val="both"/>
        <w:rPr>
          <w:rFonts w:eastAsia="BatangChe" w:cs="Arial"/>
          <w:sz w:val="18"/>
          <w:szCs w:val="18"/>
        </w:rPr>
      </w:pPr>
      <w:r w:rsidRPr="00D87C27">
        <w:rPr>
          <w:rFonts w:eastAsia="BatangChe" w:cs="Arial"/>
          <w:sz w:val="18"/>
          <w:szCs w:val="18"/>
        </w:rPr>
        <w:t>While reaching its 50th anniversary (2014), the LNG business will remain the most dynamic player on the global gas scene.  In 2012, LNG trade slightly decreased following a downturn trend in European gas consumption. The shale gas revolution reduced the need for LNG imports in North America, while Asian market remained tight with LNG playing a key role as a substitute for nuclear power.</w:t>
      </w:r>
    </w:p>
    <w:p w:rsidR="00D87C27" w:rsidRPr="00D87C27" w:rsidRDefault="00D87C27" w:rsidP="00D87C27">
      <w:pPr>
        <w:jc w:val="both"/>
        <w:rPr>
          <w:rFonts w:eastAsia="BatangChe" w:cs="Arial"/>
          <w:sz w:val="18"/>
          <w:szCs w:val="18"/>
        </w:rPr>
      </w:pPr>
    </w:p>
    <w:p w:rsidR="00D87C27" w:rsidRPr="00D87C27" w:rsidRDefault="00D87C27" w:rsidP="00D87C27">
      <w:pPr>
        <w:jc w:val="both"/>
        <w:rPr>
          <w:rFonts w:eastAsia="BatangChe" w:cs="Arial"/>
          <w:sz w:val="18"/>
          <w:szCs w:val="18"/>
        </w:rPr>
      </w:pPr>
      <w:r w:rsidRPr="00D87C27">
        <w:rPr>
          <w:rFonts w:eastAsia="BatangChe" w:cs="Arial"/>
          <w:sz w:val="18"/>
          <w:szCs w:val="18"/>
        </w:rPr>
        <w:t>Thanks to advances in technology, more LNG is becoming available all the time. An impressive 26 new projects were on their way at the end of 2012. New sources are expected to come on-stream in the medium term with the US Gulf Coast, the Canadian West Coast and East Africa expanding markets and diversification.</w:t>
      </w:r>
    </w:p>
    <w:p w:rsidR="00D87C27" w:rsidRPr="00D87C27" w:rsidRDefault="00D87C27" w:rsidP="00D87C27">
      <w:pPr>
        <w:jc w:val="both"/>
        <w:rPr>
          <w:rFonts w:eastAsia="BatangChe" w:cs="Arial"/>
          <w:sz w:val="18"/>
          <w:szCs w:val="18"/>
        </w:rPr>
      </w:pPr>
      <w:r w:rsidRPr="00D87C27">
        <w:rPr>
          <w:rFonts w:eastAsia="BatangChe" w:cs="Arial"/>
          <w:sz w:val="18"/>
          <w:szCs w:val="18"/>
        </w:rPr>
        <w:t xml:space="preserve"> </w:t>
      </w:r>
    </w:p>
    <w:p w:rsidR="00D87C27" w:rsidRPr="00D87C27" w:rsidRDefault="00D87C27" w:rsidP="00D87C27">
      <w:pPr>
        <w:jc w:val="both"/>
        <w:rPr>
          <w:rFonts w:eastAsia="BatangChe" w:cs="Arial"/>
          <w:sz w:val="18"/>
          <w:szCs w:val="18"/>
        </w:rPr>
      </w:pPr>
      <w:r w:rsidRPr="00D87C27">
        <w:rPr>
          <w:rFonts w:eastAsia="BatangChe" w:cs="Arial"/>
          <w:sz w:val="18"/>
          <w:szCs w:val="18"/>
        </w:rPr>
        <w:t>Global LNG demand should continue to grow in the short term and the market will continue to be supply constrained at least until 2015. Traditional consumers will keep their place on the market and a large number of new players are expected to emerge. Such dynamics will accentuate the globalization of the LNG market and probably change the price environment for the benefit of a larger use of non-oil-linked pricing. It is certain that LNG prices will remain firm, but their regional dichotomy will continue to provide opportunities for arbitrage trading.</w:t>
      </w:r>
    </w:p>
    <w:p w:rsidR="00D87C27" w:rsidRPr="00D87C27" w:rsidRDefault="00D87C27" w:rsidP="00D87C27">
      <w:pPr>
        <w:jc w:val="both"/>
        <w:rPr>
          <w:rFonts w:eastAsia="BatangChe" w:cs="Arial"/>
          <w:sz w:val="18"/>
          <w:szCs w:val="18"/>
        </w:rPr>
      </w:pPr>
    </w:p>
    <w:p w:rsidR="00D87C27" w:rsidRDefault="00D87C27" w:rsidP="00D87C27">
      <w:pPr>
        <w:jc w:val="both"/>
        <w:rPr>
          <w:rFonts w:eastAsia="BatangChe" w:cs="Arial"/>
          <w:sz w:val="18"/>
          <w:szCs w:val="18"/>
        </w:rPr>
      </w:pPr>
      <w:r w:rsidRPr="00D87C27">
        <w:rPr>
          <w:rFonts w:eastAsia="BatangChe" w:cs="Arial"/>
          <w:sz w:val="18"/>
          <w:szCs w:val="18"/>
        </w:rPr>
        <w:t>Asia will attract more and more diversified suppliers and will be the area of the largest supply growth. Strong demand from China and India, in addition to traditional importers such as Japan and Korea, will ensure that Asia Pacific market remains profitable for LNG suppliers. The US will</w:t>
      </w:r>
      <w:r w:rsidRPr="00D87C27">
        <w:rPr>
          <w:rFonts w:cs="Arial"/>
          <w:bCs/>
          <w:sz w:val="18"/>
          <w:szCs w:val="18"/>
        </w:rPr>
        <w:t xml:space="preserve">, </w:t>
      </w:r>
      <w:bookmarkStart w:id="3" w:name="_GoBack"/>
      <w:bookmarkEnd w:id="3"/>
      <w:r w:rsidRPr="00D87C27">
        <w:rPr>
          <w:rFonts w:cs="Arial"/>
          <w:bCs/>
          <w:sz w:val="18"/>
          <w:szCs w:val="18"/>
        </w:rPr>
        <w:t>as it looks now, become</w:t>
      </w:r>
      <w:r w:rsidRPr="00D87C27">
        <w:rPr>
          <w:rFonts w:eastAsia="BatangChe" w:cs="Arial"/>
          <w:sz w:val="18"/>
          <w:szCs w:val="18"/>
        </w:rPr>
        <w:t xml:space="preserve"> a moderate-size exporter.</w:t>
      </w:r>
    </w:p>
    <w:p w:rsidR="001B4F37" w:rsidRPr="00D87C27" w:rsidRDefault="001B4F37" w:rsidP="00D87C27">
      <w:pPr>
        <w:jc w:val="both"/>
        <w:rPr>
          <w:rFonts w:eastAsia="BatangChe" w:cs="Arial"/>
          <w:sz w:val="18"/>
          <w:szCs w:val="18"/>
        </w:rPr>
      </w:pPr>
    </w:p>
    <w:p w:rsidR="00D87C27" w:rsidRPr="00D87C27" w:rsidRDefault="00D87C27" w:rsidP="00D87C27">
      <w:pPr>
        <w:jc w:val="both"/>
        <w:rPr>
          <w:rFonts w:eastAsia="BatangChe" w:cs="Arial"/>
          <w:sz w:val="18"/>
          <w:szCs w:val="18"/>
        </w:rPr>
      </w:pPr>
    </w:p>
    <w:p w:rsidR="00D87C27" w:rsidRPr="00D87C27" w:rsidRDefault="00D87C27" w:rsidP="00D87C27">
      <w:pPr>
        <w:jc w:val="both"/>
        <w:rPr>
          <w:rFonts w:eastAsia="BatangChe" w:cs="Arial"/>
          <w:sz w:val="18"/>
          <w:szCs w:val="18"/>
        </w:rPr>
      </w:pPr>
      <w:r w:rsidRPr="00D87C27">
        <w:rPr>
          <w:rFonts w:eastAsia="BatangChe" w:cs="Arial"/>
          <w:sz w:val="18"/>
          <w:szCs w:val="18"/>
        </w:rPr>
        <w:lastRenderedPageBreak/>
        <w:t>LNG is a global market with regional pricing:  three distinctive regional markets with their own pricing and supply options subsist.</w:t>
      </w:r>
    </w:p>
    <w:p w:rsidR="00D87C27" w:rsidRPr="00D87C27" w:rsidRDefault="00D87C27" w:rsidP="00D87C27">
      <w:pPr>
        <w:jc w:val="both"/>
        <w:rPr>
          <w:rFonts w:eastAsia="BatangChe" w:cs="Arial"/>
          <w:sz w:val="18"/>
          <w:szCs w:val="18"/>
        </w:rPr>
      </w:pPr>
    </w:p>
    <w:p w:rsidR="00D87C27" w:rsidRPr="00D87C27" w:rsidRDefault="00D87C27" w:rsidP="00D87C27">
      <w:pPr>
        <w:jc w:val="both"/>
        <w:rPr>
          <w:rFonts w:eastAsia="BatangChe" w:cs="Arial"/>
          <w:sz w:val="18"/>
          <w:szCs w:val="18"/>
        </w:rPr>
      </w:pPr>
      <w:r w:rsidRPr="00D87C27">
        <w:rPr>
          <w:rFonts w:eastAsia="BatangChe" w:cs="Arial"/>
          <w:sz w:val="18"/>
          <w:szCs w:val="18"/>
        </w:rPr>
        <w:t xml:space="preserve">What will be future of LNG supply contracts? Will spot-priced short term contracts prevail over oil-linked ones? How much pressure will the LNG trade put on oil indexation in Asia? The answers will depend on the future of the nuclear generation in Asia and on the status of the new LNG projects in different parts of the world. </w:t>
      </w:r>
    </w:p>
    <w:p w:rsidR="00D87C27" w:rsidRPr="00D87C27" w:rsidRDefault="00D87C27" w:rsidP="00D87C27">
      <w:pPr>
        <w:jc w:val="both"/>
        <w:rPr>
          <w:rFonts w:eastAsia="BatangChe" w:cs="Arial"/>
          <w:sz w:val="18"/>
          <w:szCs w:val="18"/>
        </w:rPr>
      </w:pPr>
    </w:p>
    <w:p w:rsidR="00D87C27" w:rsidRPr="00D87C27" w:rsidRDefault="00D87C27" w:rsidP="00D87C27">
      <w:pPr>
        <w:jc w:val="both"/>
        <w:rPr>
          <w:rFonts w:cs="Arial"/>
          <w:sz w:val="18"/>
          <w:szCs w:val="18"/>
        </w:rPr>
      </w:pPr>
      <w:r w:rsidRPr="00D87C27">
        <w:rPr>
          <w:rFonts w:cs="Arial"/>
          <w:sz w:val="18"/>
          <w:szCs w:val="18"/>
        </w:rPr>
        <w:t xml:space="preserve">Wishing you a good reading and looking forward to seeing you at our next events, I remain </w:t>
      </w:r>
    </w:p>
    <w:p w:rsidR="00D87C27" w:rsidRPr="00D87C27" w:rsidRDefault="00D87C27" w:rsidP="00D87C27">
      <w:pPr>
        <w:jc w:val="both"/>
        <w:rPr>
          <w:rFonts w:cs="Arial"/>
          <w:sz w:val="18"/>
          <w:szCs w:val="18"/>
        </w:rPr>
      </w:pPr>
    </w:p>
    <w:p w:rsidR="00D87C27" w:rsidRPr="00D87C27" w:rsidRDefault="00D87C27" w:rsidP="00D87C27">
      <w:pPr>
        <w:rPr>
          <w:rFonts w:cs="Arial"/>
          <w:sz w:val="18"/>
          <w:szCs w:val="18"/>
        </w:rPr>
      </w:pPr>
    </w:p>
    <w:p w:rsidR="00D87C27" w:rsidRPr="00D87C27" w:rsidRDefault="00D87C27" w:rsidP="00D87C27">
      <w:pPr>
        <w:ind w:left="720" w:firstLine="720"/>
        <w:rPr>
          <w:rFonts w:cs="Arial"/>
          <w:sz w:val="18"/>
          <w:szCs w:val="18"/>
        </w:rPr>
      </w:pPr>
      <w:r w:rsidRPr="00D87C27">
        <w:rPr>
          <w:rFonts w:cs="Arial"/>
          <w:sz w:val="18"/>
          <w:szCs w:val="18"/>
        </w:rPr>
        <w:t>Yours sincerely,</w:t>
      </w:r>
    </w:p>
    <w:p w:rsidR="00D87C27" w:rsidRPr="002423FA" w:rsidRDefault="00D87C27" w:rsidP="00D87C27">
      <w:pPr>
        <w:rPr>
          <w:rFonts w:cs="Arial"/>
        </w:rPr>
      </w:pPr>
    </w:p>
    <w:p w:rsidR="00D87C27" w:rsidRPr="002423FA" w:rsidRDefault="00D87C27" w:rsidP="00D87C27">
      <w:pPr>
        <w:rPr>
          <w:rFonts w:cs="Arial"/>
        </w:rPr>
      </w:pPr>
      <w:r w:rsidRPr="002423FA">
        <w:rPr>
          <w:rFonts w:cs="Arial"/>
        </w:rPr>
        <w:t xml:space="preserve"> </w:t>
      </w:r>
    </w:p>
    <w:p w:rsidR="00D87C27" w:rsidRPr="002423FA" w:rsidRDefault="00D87C27" w:rsidP="00D87C27">
      <w:pPr>
        <w:rPr>
          <w:rFonts w:cs="Arial"/>
        </w:rPr>
      </w:pPr>
      <w:r w:rsidRPr="002423FA">
        <w:rPr>
          <w:rFonts w:cs="Arial"/>
          <w:noProof/>
          <w:lang w:val="fr-FR" w:eastAsia="zh-CN"/>
        </w:rPr>
        <w:drawing>
          <wp:inline distT="0" distB="0" distL="0" distR="0">
            <wp:extent cx="1586484" cy="768096"/>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 Jerôme Ferrier.jpg"/>
                    <pic:cNvPicPr/>
                  </pic:nvPicPr>
                  <pic:blipFill>
                    <a:blip r:embed="rId1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86484" cy="768096"/>
                    </a:xfrm>
                    <a:prstGeom prst="rect">
                      <a:avLst/>
                    </a:prstGeom>
                  </pic:spPr>
                </pic:pic>
              </a:graphicData>
            </a:graphic>
          </wp:inline>
        </w:drawing>
      </w:r>
    </w:p>
    <w:p w:rsidR="00D87C27" w:rsidRPr="00D87C27" w:rsidRDefault="00D87C27" w:rsidP="00D87C27">
      <w:pPr>
        <w:rPr>
          <w:rFonts w:cs="Arial"/>
          <w:sz w:val="18"/>
          <w:szCs w:val="18"/>
        </w:rPr>
      </w:pPr>
      <w:proofErr w:type="spellStart"/>
      <w:r w:rsidRPr="00D87C27">
        <w:rPr>
          <w:rFonts w:cs="Arial"/>
          <w:sz w:val="18"/>
          <w:szCs w:val="18"/>
        </w:rPr>
        <w:t>Jérôme</w:t>
      </w:r>
      <w:proofErr w:type="spellEnd"/>
      <w:r w:rsidRPr="00D87C27">
        <w:rPr>
          <w:rFonts w:cs="Arial"/>
          <w:sz w:val="18"/>
          <w:szCs w:val="18"/>
        </w:rPr>
        <w:t xml:space="preserve"> Ferrier</w:t>
      </w:r>
    </w:p>
    <w:p w:rsidR="00D87C27" w:rsidRPr="00D87C27" w:rsidRDefault="00D87C27" w:rsidP="00D87C27">
      <w:pPr>
        <w:rPr>
          <w:rFonts w:cs="Arial"/>
          <w:sz w:val="18"/>
          <w:szCs w:val="18"/>
        </w:rPr>
      </w:pPr>
      <w:r w:rsidRPr="00D87C27">
        <w:rPr>
          <w:rFonts w:cs="Arial"/>
          <w:sz w:val="18"/>
          <w:szCs w:val="18"/>
        </w:rPr>
        <w:t>President of IGU</w:t>
      </w:r>
    </w:p>
    <w:p w:rsidR="00CD7BDD" w:rsidRDefault="00CD7BDD" w:rsidP="00E202C5">
      <w:pPr>
        <w:widowControl/>
        <w:rPr>
          <w:iCs/>
          <w:color w:val="215A99"/>
          <w:sz w:val="18"/>
          <w:szCs w:val="18"/>
          <w:lang w:val="en-GB"/>
        </w:rPr>
      </w:pPr>
    </w:p>
    <w:p w:rsidR="00CD7BDD" w:rsidRDefault="00CD7BDD" w:rsidP="00E202C5">
      <w:pPr>
        <w:widowControl/>
        <w:rPr>
          <w:iCs/>
          <w:color w:val="215A99"/>
          <w:sz w:val="18"/>
          <w:szCs w:val="18"/>
          <w:lang w:val="en-GB"/>
        </w:rPr>
      </w:pPr>
    </w:p>
    <w:p w:rsidR="00CD7BDD" w:rsidRDefault="00CD7BDD" w:rsidP="00E202C5">
      <w:pPr>
        <w:widowControl/>
        <w:rPr>
          <w:iCs/>
          <w:color w:val="215A99"/>
          <w:sz w:val="18"/>
          <w:szCs w:val="18"/>
          <w:lang w:val="en-GB"/>
        </w:rPr>
      </w:pPr>
    </w:p>
    <w:p w:rsidR="003843DC" w:rsidRDefault="003843DC" w:rsidP="00E202C5">
      <w:pPr>
        <w:widowControl/>
        <w:rPr>
          <w:iCs/>
          <w:color w:val="215A99"/>
          <w:sz w:val="18"/>
          <w:szCs w:val="18"/>
          <w:lang w:val="en-GB"/>
        </w:rPr>
      </w:pPr>
    </w:p>
    <w:p w:rsidR="003843DC" w:rsidRDefault="003843DC" w:rsidP="00E202C5">
      <w:pPr>
        <w:widowControl/>
        <w:rPr>
          <w:iCs/>
          <w:color w:val="215A99"/>
          <w:sz w:val="18"/>
          <w:szCs w:val="18"/>
          <w:lang w:val="en-GB"/>
        </w:rPr>
      </w:pPr>
    </w:p>
    <w:p w:rsidR="003843DC" w:rsidRDefault="003843DC" w:rsidP="00E202C5">
      <w:pPr>
        <w:widowControl/>
        <w:rPr>
          <w:iCs/>
          <w:color w:val="215A99"/>
          <w:sz w:val="18"/>
          <w:szCs w:val="18"/>
          <w:lang w:val="en-GB"/>
        </w:rPr>
      </w:pPr>
    </w:p>
    <w:p w:rsidR="003843DC" w:rsidRDefault="003843DC" w:rsidP="00E202C5">
      <w:pPr>
        <w:widowControl/>
        <w:rPr>
          <w:iCs/>
          <w:color w:val="215A99"/>
          <w:sz w:val="18"/>
          <w:szCs w:val="18"/>
          <w:lang w:val="en-GB"/>
        </w:rPr>
      </w:pPr>
    </w:p>
    <w:p w:rsidR="003843DC" w:rsidRDefault="0052017D" w:rsidP="00E202C5">
      <w:pPr>
        <w:widowControl/>
        <w:rPr>
          <w:iCs/>
          <w:color w:val="215A99"/>
          <w:sz w:val="18"/>
          <w:szCs w:val="18"/>
          <w:lang w:val="en-GB"/>
        </w:rPr>
      </w:pPr>
      <w:r>
        <w:rPr>
          <w:iCs/>
          <w:noProof/>
          <w:color w:val="215A99"/>
          <w:sz w:val="18"/>
          <w:szCs w:val="18"/>
          <w:lang w:val="fr-FR" w:eastAsia="zh-CN"/>
        </w:rPr>
        <w:drawing>
          <wp:anchor distT="0" distB="0" distL="114300" distR="114300" simplePos="0" relativeHeight="251715584" behindDoc="0" locked="0" layoutInCell="1" allowOverlap="1">
            <wp:simplePos x="0" y="0"/>
            <wp:positionH relativeFrom="column">
              <wp:posOffset>-88900</wp:posOffset>
            </wp:positionH>
            <wp:positionV relativeFrom="paragraph">
              <wp:posOffset>107950</wp:posOffset>
            </wp:positionV>
            <wp:extent cx="6460490" cy="4284980"/>
            <wp:effectExtent l="19050" t="0" r="0" b="0"/>
            <wp:wrapNone/>
            <wp:docPr id="1" name="Picture 3" descr="C:\Users\gsudhakar\AppData\Local\Microsoft\Windows\Temporary Internet Files\Content.Word\Qatargas 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udhakar\AppData\Local\Microsoft\Windows\Temporary Internet Files\Content.Word\Qatargas Plant.jpg"/>
                    <pic:cNvPicPr>
                      <a:picLocks noChangeAspect="1" noChangeArrowheads="1"/>
                    </pic:cNvPicPr>
                  </pic:nvPicPr>
                  <pic:blipFill>
                    <a:blip r:embed="rId13" cstate="print"/>
                    <a:srcRect/>
                    <a:stretch>
                      <a:fillRect/>
                    </a:stretch>
                  </pic:blipFill>
                  <pic:spPr bwMode="auto">
                    <a:xfrm>
                      <a:off x="0" y="0"/>
                      <a:ext cx="6460490" cy="4284980"/>
                    </a:xfrm>
                    <a:prstGeom prst="rect">
                      <a:avLst/>
                    </a:prstGeom>
                    <a:noFill/>
                    <a:ln w="9525">
                      <a:noFill/>
                      <a:miter lim="800000"/>
                      <a:headEnd/>
                      <a:tailEnd/>
                    </a:ln>
                  </pic:spPr>
                </pic:pic>
              </a:graphicData>
            </a:graphic>
          </wp:anchor>
        </w:drawing>
      </w:r>
    </w:p>
    <w:p w:rsidR="00E202C5" w:rsidRPr="00D87C27" w:rsidRDefault="00073EEA" w:rsidP="00CD7BDD">
      <w:pPr>
        <w:widowControl/>
        <w:rPr>
          <w:b/>
          <w:iCs/>
          <w:color w:val="215A99"/>
          <w:kern w:val="28"/>
          <w:sz w:val="18"/>
          <w:szCs w:val="18"/>
          <w:lang w:val="en-GB"/>
        </w:rPr>
      </w:pPr>
      <w:r w:rsidRPr="00073EEA">
        <w:rPr>
          <w:iCs/>
          <w:noProof/>
          <w:color w:val="215A99"/>
          <w:sz w:val="18"/>
          <w:szCs w:val="18"/>
          <w:lang w:eastAsia="en-US"/>
        </w:rPr>
        <w:pict>
          <v:shape id="_x0000_s1181" type="#_x0000_t202" style="position:absolute;margin-left:-4.85pt;margin-top:316.35pt;width:103.95pt;height:15pt;z-index:251716608;mso-width-relative:margin;mso-height-relative:margin" filled="f" stroked="f" strokecolor="silver">
            <v:textbox>
              <w:txbxContent>
                <w:p w:rsidR="00856114" w:rsidRPr="00120C1A" w:rsidRDefault="00856114" w:rsidP="00B7472F">
                  <w:pPr>
                    <w:rPr>
                      <w:color w:val="FFFFFF" w:themeColor="background1"/>
                      <w:sz w:val="12"/>
                      <w:szCs w:val="12"/>
                    </w:rPr>
                  </w:pPr>
                  <w:r w:rsidRPr="00120C1A">
                    <w:rPr>
                      <w:color w:val="FFFFFF" w:themeColor="background1"/>
                      <w:sz w:val="12"/>
                      <w:szCs w:val="12"/>
                    </w:rPr>
                    <w:t xml:space="preserve">© </w:t>
                  </w:r>
                  <w:r>
                    <w:rPr>
                      <w:color w:val="FFFFFF" w:themeColor="background1"/>
                      <w:sz w:val="12"/>
                      <w:szCs w:val="12"/>
                    </w:rPr>
                    <w:t>Qatargas</w:t>
                  </w:r>
                </w:p>
              </w:txbxContent>
            </v:textbox>
          </v:shape>
        </w:pict>
      </w:r>
      <w:r w:rsidR="00E202C5" w:rsidRPr="00D87C27">
        <w:rPr>
          <w:iCs/>
          <w:color w:val="215A99"/>
          <w:sz w:val="18"/>
          <w:szCs w:val="18"/>
          <w:lang w:val="en-GB"/>
        </w:rPr>
        <w:br w:type="page"/>
      </w:r>
    </w:p>
    <w:p w:rsidR="009E6795" w:rsidRPr="00627EEA" w:rsidRDefault="00D94626" w:rsidP="00627EEA">
      <w:pPr>
        <w:pStyle w:val="Titre1"/>
        <w:rPr>
          <w:szCs w:val="27"/>
        </w:rPr>
      </w:pPr>
      <w:bookmarkStart w:id="4" w:name="_Toc360628226"/>
      <w:r w:rsidRPr="00627EEA">
        <w:rPr>
          <w:szCs w:val="27"/>
        </w:rPr>
        <w:lastRenderedPageBreak/>
        <w:t>2</w:t>
      </w:r>
      <w:r w:rsidR="009E6795" w:rsidRPr="00627EEA">
        <w:rPr>
          <w:szCs w:val="27"/>
        </w:rPr>
        <w:t>.  State of the LNG Industry</w:t>
      </w:r>
      <w:bookmarkEnd w:id="0"/>
      <w:bookmarkEnd w:id="4"/>
    </w:p>
    <w:p w:rsidR="007D0D01" w:rsidRDefault="007D0D01" w:rsidP="007D0D01">
      <w:pPr>
        <w:spacing w:line="252" w:lineRule="auto"/>
        <w:ind w:left="180"/>
        <w:jc w:val="both"/>
        <w:rPr>
          <w:color w:val="141313" w:themeColor="text1"/>
          <w:sz w:val="18"/>
          <w:szCs w:val="22"/>
          <w:lang w:val="en-GB"/>
        </w:rPr>
        <w:sectPr w:rsidR="007D0D01" w:rsidSect="009E2AB2">
          <w:type w:val="continuous"/>
          <w:pgSz w:w="12240" w:h="15840" w:code="1"/>
          <w:pgMar w:top="1728" w:right="1080" w:bottom="1080" w:left="1008" w:header="720" w:footer="504" w:gutter="0"/>
          <w:cols w:space="720"/>
          <w:titlePg/>
          <w:docGrid w:linePitch="272"/>
        </w:sectPr>
      </w:pPr>
    </w:p>
    <w:bookmarkEnd w:id="1"/>
    <w:p w:rsidR="00D77416" w:rsidRDefault="00890148" w:rsidP="00D77416">
      <w:pPr>
        <w:spacing w:line="252" w:lineRule="auto"/>
        <w:ind w:left="180"/>
        <w:jc w:val="both"/>
        <w:rPr>
          <w:color w:val="141313" w:themeColor="text1"/>
          <w:sz w:val="18"/>
          <w:lang w:val="en-GB"/>
        </w:rPr>
      </w:pPr>
      <w:r w:rsidRPr="00890148">
        <w:rPr>
          <w:b/>
          <w:color w:val="215A99"/>
          <w:sz w:val="18"/>
          <w:lang w:val="en-GB"/>
        </w:rPr>
        <w:lastRenderedPageBreak/>
        <w:t>Global Trade:</w:t>
      </w:r>
      <w:r>
        <w:rPr>
          <w:color w:val="141313" w:themeColor="text1"/>
          <w:sz w:val="18"/>
          <w:lang w:val="en-GB"/>
        </w:rPr>
        <w:t xml:space="preserve"> </w:t>
      </w:r>
      <w:r w:rsidR="00D77416" w:rsidRPr="0053358C">
        <w:rPr>
          <w:b/>
          <w:color w:val="141313" w:themeColor="text1"/>
          <w:sz w:val="18"/>
          <w:lang w:val="en-GB"/>
        </w:rPr>
        <w:t xml:space="preserve">LNG trade fell </w:t>
      </w:r>
      <w:r w:rsidR="004D7C90" w:rsidRPr="0053358C">
        <w:rPr>
          <w:b/>
          <w:color w:val="141313" w:themeColor="text1"/>
          <w:sz w:val="18"/>
          <w:lang w:val="en-GB"/>
        </w:rPr>
        <w:t>in 2012</w:t>
      </w:r>
      <w:r w:rsidR="004D7C90">
        <w:rPr>
          <w:color w:val="141313" w:themeColor="text1"/>
          <w:sz w:val="18"/>
          <w:lang w:val="en-GB"/>
        </w:rPr>
        <w:t xml:space="preserve"> </w:t>
      </w:r>
      <w:r w:rsidR="00D77416">
        <w:rPr>
          <w:color w:val="141313" w:themeColor="text1"/>
          <w:sz w:val="18"/>
          <w:lang w:val="en-GB"/>
        </w:rPr>
        <w:t xml:space="preserve">after 30 </w:t>
      </w:r>
      <w:r w:rsidR="003E1C2F">
        <w:rPr>
          <w:color w:val="141313" w:themeColor="text1"/>
          <w:sz w:val="18"/>
          <w:lang w:val="en-GB"/>
        </w:rPr>
        <w:t xml:space="preserve">years of </w:t>
      </w:r>
      <w:r w:rsidR="00D77416">
        <w:rPr>
          <w:color w:val="141313" w:themeColor="text1"/>
          <w:sz w:val="18"/>
          <w:lang w:val="en-GB"/>
        </w:rPr>
        <w:t>consecutive growth. Global flows fell by 1</w:t>
      </w:r>
      <w:r w:rsidR="00C43387">
        <w:rPr>
          <w:color w:val="141313" w:themeColor="text1"/>
          <w:sz w:val="18"/>
          <w:lang w:val="en-GB"/>
        </w:rPr>
        <w:t>.</w:t>
      </w:r>
      <w:r w:rsidR="00C72C82">
        <w:rPr>
          <w:color w:val="141313" w:themeColor="text1"/>
          <w:sz w:val="18"/>
          <w:lang w:val="en-GB"/>
        </w:rPr>
        <w:t>6</w:t>
      </w:r>
      <w:r w:rsidR="00D77416">
        <w:rPr>
          <w:color w:val="141313" w:themeColor="text1"/>
          <w:sz w:val="18"/>
          <w:lang w:val="en-GB"/>
        </w:rPr>
        <w:t>% fro</w:t>
      </w:r>
      <w:r w:rsidR="00D77416" w:rsidRPr="00C43387">
        <w:rPr>
          <w:color w:val="141313" w:themeColor="text1"/>
          <w:sz w:val="18"/>
          <w:lang w:val="en-GB"/>
        </w:rPr>
        <w:t xml:space="preserve">m 241.5 </w:t>
      </w:r>
      <w:r w:rsidR="005E57B6" w:rsidRPr="00C43387">
        <w:rPr>
          <w:color w:val="141313" w:themeColor="text1"/>
          <w:sz w:val="18"/>
          <w:lang w:val="en-GB"/>
        </w:rPr>
        <w:t>MT</w:t>
      </w:r>
      <w:r w:rsidR="00D77416" w:rsidRPr="00C43387">
        <w:rPr>
          <w:color w:val="141313" w:themeColor="text1"/>
          <w:sz w:val="18"/>
          <w:lang w:val="en-GB"/>
        </w:rPr>
        <w:t xml:space="preserve"> in 2011 to </w:t>
      </w:r>
      <w:r w:rsidR="000E2CED">
        <w:rPr>
          <w:b/>
          <w:sz w:val="18"/>
          <w:lang w:val="en-GB"/>
        </w:rPr>
        <w:t>237.7</w:t>
      </w:r>
      <w:r w:rsidR="00C43387" w:rsidRPr="0053358C">
        <w:rPr>
          <w:b/>
          <w:sz w:val="18"/>
          <w:lang w:val="en-GB"/>
        </w:rPr>
        <w:t xml:space="preserve"> </w:t>
      </w:r>
      <w:r w:rsidR="005E57B6" w:rsidRPr="0053358C">
        <w:rPr>
          <w:b/>
          <w:color w:val="141313" w:themeColor="text1"/>
          <w:sz w:val="18"/>
          <w:lang w:val="en-GB"/>
        </w:rPr>
        <w:t>MT</w:t>
      </w:r>
      <w:r w:rsidR="00D77416" w:rsidRPr="0053358C">
        <w:rPr>
          <w:b/>
          <w:color w:val="141313" w:themeColor="text1"/>
          <w:sz w:val="18"/>
          <w:lang w:val="en-GB"/>
        </w:rPr>
        <w:t xml:space="preserve"> in 2012</w:t>
      </w:r>
      <w:r w:rsidR="00D77416" w:rsidRPr="00C43387">
        <w:rPr>
          <w:color w:val="141313" w:themeColor="text1"/>
          <w:sz w:val="18"/>
          <w:lang w:val="en-GB"/>
        </w:rPr>
        <w:t>.  The contraction was largely driven by supply-side issues in Southeast</w:t>
      </w:r>
      <w:r w:rsidR="00D77416">
        <w:rPr>
          <w:color w:val="141313" w:themeColor="text1"/>
          <w:sz w:val="18"/>
          <w:lang w:val="en-GB"/>
        </w:rPr>
        <w:t xml:space="preserve"> Asia and domestic and political challenges in </w:t>
      </w:r>
      <w:r w:rsidR="004D7C90">
        <w:rPr>
          <w:color w:val="141313" w:themeColor="text1"/>
          <w:sz w:val="18"/>
          <w:lang w:val="en-GB"/>
        </w:rPr>
        <w:t>the Middle East and North Africa (MENA) region</w:t>
      </w:r>
      <w:r w:rsidR="00D77416">
        <w:rPr>
          <w:color w:val="141313" w:themeColor="text1"/>
          <w:sz w:val="18"/>
          <w:lang w:val="en-GB"/>
        </w:rPr>
        <w:t xml:space="preserve">. Japan and Korea are the world’s dominant LNG importers and accounted for 52% of the market, up 4% from 2011.  </w:t>
      </w:r>
    </w:p>
    <w:p w:rsidR="00D77416" w:rsidRDefault="00D77416" w:rsidP="00D77416">
      <w:pPr>
        <w:spacing w:line="252" w:lineRule="auto"/>
        <w:ind w:left="180"/>
        <w:jc w:val="both"/>
        <w:rPr>
          <w:color w:val="141313" w:themeColor="text1"/>
          <w:sz w:val="18"/>
          <w:lang w:val="en-GB"/>
        </w:rPr>
      </w:pPr>
    </w:p>
    <w:p w:rsidR="00D77416" w:rsidRPr="007E3E54" w:rsidRDefault="00890148" w:rsidP="00D77416">
      <w:pPr>
        <w:spacing w:line="252" w:lineRule="auto"/>
        <w:ind w:left="180"/>
        <w:jc w:val="both"/>
        <w:rPr>
          <w:sz w:val="18"/>
          <w:lang w:val="en-GB"/>
        </w:rPr>
      </w:pPr>
      <w:r w:rsidRPr="00890148">
        <w:rPr>
          <w:b/>
          <w:color w:val="215A99"/>
          <w:sz w:val="18"/>
          <w:lang w:val="en-GB"/>
        </w:rPr>
        <w:t xml:space="preserve">Spot </w:t>
      </w:r>
      <w:r w:rsidR="004D7C90">
        <w:rPr>
          <w:b/>
          <w:color w:val="215A99"/>
          <w:sz w:val="18"/>
          <w:lang w:val="en-GB"/>
        </w:rPr>
        <w:t xml:space="preserve">and Short-Term LNG </w:t>
      </w:r>
      <w:r w:rsidRPr="00890148">
        <w:rPr>
          <w:b/>
          <w:color w:val="215A99"/>
          <w:sz w:val="18"/>
          <w:lang w:val="en-GB"/>
        </w:rPr>
        <w:t>Market:</w:t>
      </w:r>
      <w:r>
        <w:rPr>
          <w:color w:val="141313" w:themeColor="text1"/>
          <w:sz w:val="18"/>
          <w:lang w:val="en-GB"/>
        </w:rPr>
        <w:t xml:space="preserve"> </w:t>
      </w:r>
      <w:r w:rsidR="00D77416">
        <w:rPr>
          <w:color w:val="141313" w:themeColor="text1"/>
          <w:sz w:val="18"/>
          <w:lang w:val="en-GB"/>
        </w:rPr>
        <w:t xml:space="preserve">The </w:t>
      </w:r>
      <w:r w:rsidR="004D7C90">
        <w:rPr>
          <w:color w:val="141313" w:themeColor="text1"/>
          <w:sz w:val="18"/>
          <w:lang w:val="en-GB"/>
        </w:rPr>
        <w:t xml:space="preserve">spot and short-term </w:t>
      </w:r>
      <w:r w:rsidR="00D77416">
        <w:rPr>
          <w:color w:val="141313" w:themeColor="text1"/>
          <w:sz w:val="18"/>
          <w:lang w:val="en-GB"/>
        </w:rPr>
        <w:t xml:space="preserve">LNG market reached </w:t>
      </w:r>
      <w:r w:rsidR="000E2CED">
        <w:rPr>
          <w:b/>
          <w:color w:val="141313" w:themeColor="text1"/>
          <w:sz w:val="18"/>
          <w:lang w:val="en-GB"/>
        </w:rPr>
        <w:t>73.5</w:t>
      </w:r>
      <w:r w:rsidR="00D77416" w:rsidRPr="0053358C">
        <w:rPr>
          <w:b/>
          <w:color w:val="141313" w:themeColor="text1"/>
          <w:sz w:val="18"/>
          <w:lang w:val="en-GB"/>
        </w:rPr>
        <w:t xml:space="preserve"> </w:t>
      </w:r>
      <w:r w:rsidR="005E57B6" w:rsidRPr="0053358C">
        <w:rPr>
          <w:b/>
          <w:color w:val="141313" w:themeColor="text1"/>
          <w:sz w:val="18"/>
          <w:lang w:val="en-GB"/>
        </w:rPr>
        <w:t>MT</w:t>
      </w:r>
      <w:r w:rsidR="00D77416" w:rsidRPr="0053358C">
        <w:rPr>
          <w:b/>
          <w:color w:val="141313" w:themeColor="text1"/>
          <w:sz w:val="18"/>
          <w:lang w:val="en-GB"/>
        </w:rPr>
        <w:t xml:space="preserve"> in 2012</w:t>
      </w:r>
      <w:r w:rsidR="00D77416">
        <w:rPr>
          <w:color w:val="141313" w:themeColor="text1"/>
          <w:sz w:val="18"/>
          <w:lang w:val="en-GB"/>
        </w:rPr>
        <w:t xml:space="preserve">, or </w:t>
      </w:r>
      <w:r w:rsidR="00C43387">
        <w:rPr>
          <w:color w:val="141313" w:themeColor="text1"/>
          <w:sz w:val="18"/>
          <w:lang w:val="en-GB"/>
        </w:rPr>
        <w:t>31</w:t>
      </w:r>
      <w:r w:rsidR="00D77416">
        <w:rPr>
          <w:color w:val="141313" w:themeColor="text1"/>
          <w:sz w:val="18"/>
          <w:lang w:val="en-GB"/>
        </w:rPr>
        <w:t xml:space="preserve">% of total volumes. This is up from 65.1 </w:t>
      </w:r>
      <w:r w:rsidR="005E57B6">
        <w:rPr>
          <w:color w:val="141313" w:themeColor="text1"/>
          <w:sz w:val="18"/>
          <w:lang w:val="en-GB"/>
        </w:rPr>
        <w:t>MT</w:t>
      </w:r>
      <w:r w:rsidR="00D77416">
        <w:rPr>
          <w:color w:val="141313" w:themeColor="text1"/>
          <w:sz w:val="18"/>
          <w:lang w:val="en-GB"/>
        </w:rPr>
        <w:t xml:space="preserve"> in 2011.  Qatar and Nigeria accounted for </w:t>
      </w:r>
      <w:r w:rsidR="00DB5CD7">
        <w:rPr>
          <w:color w:val="141313" w:themeColor="text1"/>
          <w:sz w:val="18"/>
          <w:lang w:val="en-GB"/>
        </w:rPr>
        <w:t>almost half</w:t>
      </w:r>
      <w:r w:rsidR="00D77416">
        <w:rPr>
          <w:color w:val="141313" w:themeColor="text1"/>
          <w:sz w:val="18"/>
          <w:lang w:val="en-GB"/>
        </w:rPr>
        <w:t xml:space="preserve"> of the </w:t>
      </w:r>
      <w:r w:rsidR="00D77416" w:rsidRPr="007E3E54">
        <w:rPr>
          <w:sz w:val="18"/>
          <w:lang w:val="en-GB"/>
        </w:rPr>
        <w:t xml:space="preserve">spot exports. As a whole, </w:t>
      </w:r>
      <w:r w:rsidR="00D77416" w:rsidRPr="0053358C">
        <w:rPr>
          <w:b/>
          <w:sz w:val="18"/>
          <w:lang w:val="en-GB"/>
        </w:rPr>
        <w:t xml:space="preserve">Asian buyers made up </w:t>
      </w:r>
      <w:r w:rsidR="00C43387" w:rsidRPr="0053358C">
        <w:rPr>
          <w:b/>
          <w:sz w:val="18"/>
          <w:lang w:val="en-GB"/>
        </w:rPr>
        <w:t>7</w:t>
      </w:r>
      <w:r w:rsidR="000E2CED">
        <w:rPr>
          <w:b/>
          <w:sz w:val="18"/>
          <w:lang w:val="en-GB"/>
        </w:rPr>
        <w:t>2</w:t>
      </w:r>
      <w:r w:rsidR="004D7C90" w:rsidRPr="0053358C">
        <w:rPr>
          <w:b/>
          <w:sz w:val="18"/>
          <w:lang w:val="en-GB"/>
        </w:rPr>
        <w:t>%</w:t>
      </w:r>
      <w:r w:rsidR="00D77416" w:rsidRPr="0053358C">
        <w:rPr>
          <w:b/>
          <w:sz w:val="18"/>
          <w:lang w:val="en-GB"/>
        </w:rPr>
        <w:t xml:space="preserve"> of spot LNG in 2012</w:t>
      </w:r>
      <w:r w:rsidR="00D77416" w:rsidRPr="007E3E54">
        <w:rPr>
          <w:sz w:val="18"/>
          <w:lang w:val="en-GB"/>
        </w:rPr>
        <w:t>, but Japan, Korea, and India alone accounted for 6</w:t>
      </w:r>
      <w:r w:rsidR="000E2CED">
        <w:rPr>
          <w:sz w:val="18"/>
          <w:lang w:val="en-GB"/>
        </w:rPr>
        <w:t>1</w:t>
      </w:r>
      <w:r w:rsidR="00D77416" w:rsidRPr="007E3E54">
        <w:rPr>
          <w:sz w:val="18"/>
          <w:lang w:val="en-GB"/>
        </w:rPr>
        <w:t xml:space="preserve">%.   </w:t>
      </w:r>
      <w:r w:rsidR="00931B39" w:rsidRPr="007E3E54">
        <w:rPr>
          <w:sz w:val="18"/>
          <w:lang w:val="en-GB"/>
        </w:rPr>
        <w:t>The major driver in spot</w:t>
      </w:r>
      <w:r w:rsidR="004D7C90" w:rsidRPr="007E3E54">
        <w:rPr>
          <w:sz w:val="18"/>
          <w:lang w:val="en-GB"/>
        </w:rPr>
        <w:t xml:space="preserve"> and short-term</w:t>
      </w:r>
      <w:r w:rsidR="00931B39" w:rsidRPr="007E3E54">
        <w:rPr>
          <w:sz w:val="18"/>
          <w:lang w:val="en-GB"/>
        </w:rPr>
        <w:t xml:space="preserve"> trade growth has been the increased use of divertible options in flexible contracts that allows companies to arbitrage.  </w:t>
      </w:r>
    </w:p>
    <w:p w:rsidR="00D77416" w:rsidRDefault="00D77416" w:rsidP="00D77416">
      <w:pPr>
        <w:spacing w:line="252" w:lineRule="auto"/>
        <w:ind w:left="180"/>
        <w:jc w:val="both"/>
        <w:rPr>
          <w:color w:val="141313" w:themeColor="text1"/>
          <w:sz w:val="18"/>
          <w:lang w:val="en-GB"/>
        </w:rPr>
      </w:pPr>
    </w:p>
    <w:p w:rsidR="00D77416" w:rsidRPr="007E3E54" w:rsidRDefault="00890148" w:rsidP="00D77416">
      <w:pPr>
        <w:spacing w:line="252" w:lineRule="auto"/>
        <w:ind w:left="180"/>
        <w:jc w:val="both"/>
        <w:rPr>
          <w:sz w:val="18"/>
          <w:lang w:val="en-GB"/>
        </w:rPr>
      </w:pPr>
      <w:r w:rsidRPr="00890148">
        <w:rPr>
          <w:b/>
          <w:color w:val="215A99"/>
          <w:sz w:val="18"/>
          <w:lang w:val="en-GB"/>
        </w:rPr>
        <w:t>Global Prices:</w:t>
      </w:r>
      <w:r>
        <w:rPr>
          <w:color w:val="141313" w:themeColor="text1"/>
          <w:sz w:val="18"/>
          <w:lang w:val="en-GB"/>
        </w:rPr>
        <w:t xml:space="preserve"> </w:t>
      </w:r>
      <w:r w:rsidR="00D77416">
        <w:rPr>
          <w:color w:val="141313" w:themeColor="text1"/>
          <w:sz w:val="18"/>
          <w:lang w:val="en-GB"/>
        </w:rPr>
        <w:t>Except for the UK, major regional price points did not experience the same volatility in 2012 they saw in 2011. Henry Hub</w:t>
      </w:r>
      <w:r w:rsidR="00FA65C1">
        <w:rPr>
          <w:color w:val="141313" w:themeColor="text1"/>
          <w:sz w:val="18"/>
          <w:lang w:val="en-GB"/>
        </w:rPr>
        <w:t xml:space="preserve"> spot prices</w:t>
      </w:r>
      <w:r w:rsidR="00D77416">
        <w:rPr>
          <w:color w:val="141313" w:themeColor="text1"/>
          <w:sz w:val="18"/>
          <w:lang w:val="en-GB"/>
        </w:rPr>
        <w:t xml:space="preserve"> remained depressed due to strong </w:t>
      </w:r>
      <w:r w:rsidR="00D77416" w:rsidRPr="007E3E54">
        <w:rPr>
          <w:sz w:val="18"/>
          <w:lang w:val="en-GB"/>
        </w:rPr>
        <w:t>unconventional gas production, averaging $2.75/</w:t>
      </w:r>
      <w:proofErr w:type="spellStart"/>
      <w:r w:rsidR="007E3E54">
        <w:rPr>
          <w:sz w:val="18"/>
          <w:lang w:val="en-GB"/>
        </w:rPr>
        <w:t>m</w:t>
      </w:r>
      <w:r w:rsidR="005E57B6" w:rsidRPr="007E3E54">
        <w:rPr>
          <w:sz w:val="18"/>
          <w:lang w:val="en-GB"/>
        </w:rPr>
        <w:t>mBtu</w:t>
      </w:r>
      <w:proofErr w:type="spellEnd"/>
      <w:r w:rsidR="00D77416" w:rsidRPr="007E3E54">
        <w:rPr>
          <w:sz w:val="18"/>
          <w:lang w:val="en-GB"/>
        </w:rPr>
        <w:t xml:space="preserve"> in 2012.  The European oil-linked price (</w:t>
      </w:r>
      <w:r w:rsidR="00931B39" w:rsidRPr="007E3E54">
        <w:rPr>
          <w:sz w:val="18"/>
          <w:lang w:val="en-GB"/>
        </w:rPr>
        <w:t xml:space="preserve">an estimate of the </w:t>
      </w:r>
      <w:r w:rsidR="00D77416" w:rsidRPr="007E3E54">
        <w:rPr>
          <w:sz w:val="18"/>
          <w:lang w:val="en-GB"/>
        </w:rPr>
        <w:t xml:space="preserve">German Contract) remained essentially flat over the year at </w:t>
      </w:r>
      <w:r w:rsidR="00393F27" w:rsidRPr="007E3E54">
        <w:rPr>
          <w:sz w:val="18"/>
          <w:lang w:val="en-GB"/>
        </w:rPr>
        <w:t xml:space="preserve">with an average of </w:t>
      </w:r>
      <w:r w:rsidR="001230AE" w:rsidRPr="007E3E54">
        <w:rPr>
          <w:sz w:val="18"/>
          <w:lang w:val="en-GB"/>
        </w:rPr>
        <w:t>~</w:t>
      </w:r>
      <w:r w:rsidR="00D77416" w:rsidRPr="007E3E54">
        <w:rPr>
          <w:sz w:val="18"/>
          <w:lang w:val="en-GB"/>
        </w:rPr>
        <w:t>$11.65/</w:t>
      </w:r>
      <w:proofErr w:type="spellStart"/>
      <w:r w:rsidR="007E3E54">
        <w:rPr>
          <w:sz w:val="18"/>
          <w:lang w:val="en-GB"/>
        </w:rPr>
        <w:t>m</w:t>
      </w:r>
      <w:r w:rsidR="005E57B6" w:rsidRPr="007E3E54">
        <w:rPr>
          <w:sz w:val="18"/>
          <w:lang w:val="en-GB"/>
        </w:rPr>
        <w:t>mBtu</w:t>
      </w:r>
      <w:proofErr w:type="spellEnd"/>
      <w:r w:rsidR="00D77416" w:rsidRPr="007E3E54">
        <w:rPr>
          <w:sz w:val="18"/>
          <w:lang w:val="en-GB"/>
        </w:rPr>
        <w:t>.  Despite volatility</w:t>
      </w:r>
      <w:r w:rsidR="00931B39" w:rsidRPr="007E3E54">
        <w:rPr>
          <w:sz w:val="18"/>
          <w:lang w:val="en-GB"/>
        </w:rPr>
        <w:t xml:space="preserve"> in the second half of 2012</w:t>
      </w:r>
      <w:r w:rsidR="005E57B6" w:rsidRPr="007E3E54">
        <w:rPr>
          <w:sz w:val="18"/>
          <w:lang w:val="en-GB"/>
        </w:rPr>
        <w:t xml:space="preserve"> which saw a low of ~$14.5/</w:t>
      </w:r>
      <w:proofErr w:type="spellStart"/>
      <w:r w:rsidR="005E57B6" w:rsidRPr="007E3E54">
        <w:rPr>
          <w:sz w:val="18"/>
          <w:lang w:val="en-GB"/>
        </w:rPr>
        <w:t>mmBtu</w:t>
      </w:r>
      <w:proofErr w:type="spellEnd"/>
      <w:r w:rsidR="005E57B6" w:rsidRPr="007E3E54">
        <w:rPr>
          <w:sz w:val="18"/>
          <w:lang w:val="en-GB"/>
        </w:rPr>
        <w:t xml:space="preserve"> and high of ~$17.5/</w:t>
      </w:r>
      <w:proofErr w:type="spellStart"/>
      <w:r w:rsidR="005E57B6" w:rsidRPr="007E3E54">
        <w:rPr>
          <w:sz w:val="18"/>
          <w:lang w:val="en-GB"/>
        </w:rPr>
        <w:t>mmBtu</w:t>
      </w:r>
      <w:proofErr w:type="spellEnd"/>
      <w:r w:rsidR="00D77416" w:rsidRPr="007E3E54">
        <w:rPr>
          <w:sz w:val="18"/>
          <w:lang w:val="en-GB"/>
        </w:rPr>
        <w:t xml:space="preserve">, Japan’s </w:t>
      </w:r>
      <w:r w:rsidR="00E1039A">
        <w:rPr>
          <w:sz w:val="18"/>
          <w:lang w:val="en-GB"/>
        </w:rPr>
        <w:t xml:space="preserve">average import </w:t>
      </w:r>
      <w:r w:rsidR="00D77416" w:rsidRPr="007E3E54">
        <w:rPr>
          <w:sz w:val="18"/>
          <w:lang w:val="en-GB"/>
        </w:rPr>
        <w:t>price maintained a ~$16/</w:t>
      </w:r>
      <w:proofErr w:type="spellStart"/>
      <w:r w:rsidR="007E3E54">
        <w:rPr>
          <w:sz w:val="18"/>
          <w:lang w:val="en-GB"/>
        </w:rPr>
        <w:t>m</w:t>
      </w:r>
      <w:r w:rsidR="005E57B6" w:rsidRPr="007E3E54">
        <w:rPr>
          <w:sz w:val="18"/>
          <w:lang w:val="en-GB"/>
        </w:rPr>
        <w:t>mBtu</w:t>
      </w:r>
      <w:proofErr w:type="spellEnd"/>
      <w:r w:rsidR="00D77416" w:rsidRPr="007E3E54">
        <w:rPr>
          <w:sz w:val="18"/>
          <w:lang w:val="en-GB"/>
        </w:rPr>
        <w:t xml:space="preserve"> </w:t>
      </w:r>
      <w:r w:rsidR="00C72C82">
        <w:rPr>
          <w:sz w:val="18"/>
          <w:lang w:val="en-GB"/>
        </w:rPr>
        <w:t>level</w:t>
      </w:r>
      <w:r w:rsidR="00D77416" w:rsidRPr="007E3E54">
        <w:rPr>
          <w:sz w:val="18"/>
          <w:lang w:val="en-GB"/>
        </w:rPr>
        <w:t xml:space="preserve"> in 2012. </w:t>
      </w:r>
    </w:p>
    <w:p w:rsidR="00D77416" w:rsidRDefault="00D77416" w:rsidP="00D77416">
      <w:pPr>
        <w:spacing w:line="252" w:lineRule="auto"/>
        <w:ind w:left="180"/>
        <w:jc w:val="both"/>
        <w:rPr>
          <w:color w:val="141313" w:themeColor="text1"/>
          <w:sz w:val="18"/>
          <w:lang w:val="en-GB"/>
        </w:rPr>
      </w:pPr>
    </w:p>
    <w:p w:rsidR="00D77416" w:rsidRDefault="00890148" w:rsidP="00D77416">
      <w:pPr>
        <w:spacing w:line="252" w:lineRule="auto"/>
        <w:ind w:left="180"/>
        <w:jc w:val="both"/>
        <w:rPr>
          <w:color w:val="141313" w:themeColor="text1"/>
          <w:sz w:val="18"/>
          <w:lang w:val="en-GB"/>
        </w:rPr>
      </w:pPr>
      <w:r w:rsidRPr="00890148">
        <w:rPr>
          <w:b/>
          <w:color w:val="215A99"/>
          <w:sz w:val="18"/>
          <w:lang w:val="en-GB"/>
        </w:rPr>
        <w:t>Liquefaction Plants:</w:t>
      </w:r>
      <w:r>
        <w:rPr>
          <w:color w:val="141313" w:themeColor="text1"/>
          <w:sz w:val="18"/>
          <w:lang w:val="en-GB"/>
        </w:rPr>
        <w:t xml:space="preserve"> </w:t>
      </w:r>
      <w:r w:rsidR="00D77416">
        <w:rPr>
          <w:color w:val="141313" w:themeColor="text1"/>
          <w:sz w:val="18"/>
          <w:lang w:val="en-GB"/>
        </w:rPr>
        <w:t xml:space="preserve">Only one new liquefaction project came online in </w:t>
      </w:r>
      <w:r w:rsidR="00D77416" w:rsidRPr="007E3E54">
        <w:rPr>
          <w:sz w:val="18"/>
          <w:lang w:val="en-GB"/>
        </w:rPr>
        <w:t xml:space="preserve">2012 (Pluto LNG in Australia), taking </w:t>
      </w:r>
      <w:r w:rsidR="00D77416" w:rsidRPr="0053358C">
        <w:rPr>
          <w:b/>
          <w:sz w:val="18"/>
          <w:lang w:val="en-GB"/>
        </w:rPr>
        <w:t xml:space="preserve">global capacity to 281 </w:t>
      </w:r>
      <w:r w:rsidR="005E57B6" w:rsidRPr="0053358C">
        <w:rPr>
          <w:b/>
          <w:sz w:val="18"/>
          <w:lang w:val="en-GB"/>
        </w:rPr>
        <w:t>MTPA</w:t>
      </w:r>
      <w:r w:rsidR="00D77416" w:rsidRPr="007E3E54">
        <w:rPr>
          <w:sz w:val="18"/>
          <w:lang w:val="en-GB"/>
        </w:rPr>
        <w:t xml:space="preserve">.  </w:t>
      </w:r>
      <w:r w:rsidRPr="007E3E54">
        <w:rPr>
          <w:sz w:val="18"/>
          <w:lang w:val="en-GB"/>
        </w:rPr>
        <w:t xml:space="preserve">Several projects, especially in Southeast Asia, saw less </w:t>
      </w:r>
      <w:r w:rsidR="000E2CED">
        <w:rPr>
          <w:sz w:val="18"/>
          <w:lang w:val="en-GB"/>
        </w:rPr>
        <w:t>output</w:t>
      </w:r>
      <w:r w:rsidRPr="007E3E54">
        <w:rPr>
          <w:sz w:val="18"/>
          <w:lang w:val="en-GB"/>
        </w:rPr>
        <w:t xml:space="preserve"> than 2011 due to the lower feedstock availability</w:t>
      </w:r>
      <w:r w:rsidR="007B02DD" w:rsidRPr="007E3E54">
        <w:rPr>
          <w:sz w:val="18"/>
          <w:lang w:val="en-GB"/>
        </w:rPr>
        <w:t xml:space="preserve"> (</w:t>
      </w:r>
      <w:proofErr w:type="spellStart"/>
      <w:r w:rsidR="007B02DD" w:rsidRPr="007E3E54">
        <w:rPr>
          <w:sz w:val="18"/>
          <w:lang w:val="en-GB"/>
        </w:rPr>
        <w:t>i.e</w:t>
      </w:r>
      <w:proofErr w:type="spellEnd"/>
      <w:r w:rsidR="007B02DD" w:rsidRPr="007E3E54">
        <w:rPr>
          <w:sz w:val="18"/>
          <w:lang w:val="en-GB"/>
        </w:rPr>
        <w:t xml:space="preserve"> lower than expected output at the Mahakam Block in Indonesia and a fire at the Malaysia LNG plant)</w:t>
      </w:r>
      <w:r w:rsidRPr="007E3E54">
        <w:rPr>
          <w:sz w:val="18"/>
          <w:lang w:val="en-GB"/>
        </w:rPr>
        <w:t xml:space="preserve">.  Angola LNG is the next major </w:t>
      </w:r>
      <w:r w:rsidRPr="004C5F83">
        <w:rPr>
          <w:sz w:val="18"/>
          <w:lang w:val="en-GB"/>
        </w:rPr>
        <w:t xml:space="preserve">addition for the market, and had earlier been anticipated for 2012. </w:t>
      </w:r>
      <w:r w:rsidR="00A7511B" w:rsidRPr="004C5F83">
        <w:rPr>
          <w:sz w:val="18"/>
          <w:lang w:val="en-GB"/>
        </w:rPr>
        <w:t>As of mid-2013</w:t>
      </w:r>
      <w:r w:rsidRPr="004C5F83">
        <w:rPr>
          <w:sz w:val="18"/>
          <w:lang w:val="en-GB"/>
        </w:rPr>
        <w:t xml:space="preserve">, </w:t>
      </w:r>
      <w:r w:rsidR="00A7511B" w:rsidRPr="004C5F83">
        <w:rPr>
          <w:sz w:val="18"/>
          <w:lang w:val="en-GB"/>
        </w:rPr>
        <w:t>there were</w:t>
      </w:r>
      <w:r w:rsidRPr="004C5F83">
        <w:rPr>
          <w:sz w:val="18"/>
          <w:lang w:val="en-GB"/>
        </w:rPr>
        <w:t xml:space="preserve"> </w:t>
      </w:r>
      <w:r w:rsidR="00A7511B" w:rsidRPr="004C5F83">
        <w:rPr>
          <w:b/>
          <w:sz w:val="18"/>
          <w:lang w:val="en-GB"/>
        </w:rPr>
        <w:t>30</w:t>
      </w:r>
      <w:r w:rsidRPr="004C5F83">
        <w:rPr>
          <w:b/>
          <w:sz w:val="18"/>
          <w:lang w:val="en-GB"/>
        </w:rPr>
        <w:t xml:space="preserve"> trains under construction with a total capacity of </w:t>
      </w:r>
      <w:r w:rsidR="000E2CED" w:rsidRPr="004C5F83">
        <w:rPr>
          <w:b/>
          <w:sz w:val="18"/>
          <w:lang w:val="en-GB"/>
        </w:rPr>
        <w:t>1</w:t>
      </w:r>
      <w:r w:rsidR="00A7511B" w:rsidRPr="004C5F83">
        <w:rPr>
          <w:b/>
          <w:sz w:val="18"/>
          <w:lang w:val="en-GB"/>
        </w:rPr>
        <w:t>10</w:t>
      </w:r>
      <w:r w:rsidR="000E2CED" w:rsidRPr="004C5F83">
        <w:rPr>
          <w:b/>
          <w:sz w:val="18"/>
          <w:lang w:val="en-GB"/>
        </w:rPr>
        <w:t>.1</w:t>
      </w:r>
      <w:r w:rsidRPr="004C5F83">
        <w:rPr>
          <w:b/>
          <w:sz w:val="18"/>
          <w:lang w:val="en-GB"/>
        </w:rPr>
        <w:t xml:space="preserve"> </w:t>
      </w:r>
      <w:r w:rsidR="005E57B6" w:rsidRPr="004C5F83">
        <w:rPr>
          <w:b/>
          <w:sz w:val="18"/>
          <w:lang w:val="en-GB"/>
        </w:rPr>
        <w:t>MTPA</w:t>
      </w:r>
      <w:r w:rsidRPr="004C5F83">
        <w:rPr>
          <w:sz w:val="18"/>
          <w:lang w:val="en-GB"/>
        </w:rPr>
        <w:t xml:space="preserve">.  </w:t>
      </w:r>
      <w:r w:rsidR="00D77416" w:rsidRPr="004C5F83">
        <w:rPr>
          <w:sz w:val="18"/>
          <w:lang w:val="en-GB"/>
        </w:rPr>
        <w:t>Many of these projects have experienced significant cost overruns in the past two years – a concerning sign for project development</w:t>
      </w:r>
      <w:r w:rsidR="00D77416">
        <w:rPr>
          <w:color w:val="141313" w:themeColor="text1"/>
          <w:sz w:val="18"/>
          <w:lang w:val="en-GB"/>
        </w:rPr>
        <w:t xml:space="preserve"> in </w:t>
      </w:r>
      <w:r w:rsidR="001B4F37">
        <w:rPr>
          <w:color w:val="141313" w:themeColor="text1"/>
          <w:sz w:val="18"/>
          <w:lang w:val="en-GB"/>
        </w:rPr>
        <w:t xml:space="preserve">new </w:t>
      </w:r>
      <w:r w:rsidR="00D77416">
        <w:rPr>
          <w:color w:val="141313" w:themeColor="text1"/>
          <w:sz w:val="18"/>
          <w:lang w:val="en-GB"/>
        </w:rPr>
        <w:t xml:space="preserve">LNG plays. </w:t>
      </w:r>
      <w:r>
        <w:rPr>
          <w:color w:val="141313" w:themeColor="text1"/>
          <w:sz w:val="18"/>
          <w:lang w:val="en-GB"/>
        </w:rPr>
        <w:t xml:space="preserve"> </w:t>
      </w:r>
    </w:p>
    <w:p w:rsidR="00D77416" w:rsidRDefault="00D77416" w:rsidP="00D77416">
      <w:pPr>
        <w:spacing w:line="252" w:lineRule="auto"/>
        <w:ind w:left="180"/>
        <w:jc w:val="both"/>
        <w:rPr>
          <w:color w:val="141313" w:themeColor="text1"/>
          <w:sz w:val="18"/>
          <w:lang w:val="en-GB"/>
        </w:rPr>
      </w:pPr>
    </w:p>
    <w:p w:rsidR="00D77416" w:rsidRDefault="00073EEA" w:rsidP="00D77416">
      <w:pPr>
        <w:spacing w:line="252" w:lineRule="auto"/>
        <w:ind w:left="180"/>
        <w:jc w:val="both"/>
        <w:rPr>
          <w:color w:val="141313" w:themeColor="text1"/>
          <w:sz w:val="18"/>
          <w:lang w:val="en-GB"/>
        </w:rPr>
      </w:pPr>
      <w:r w:rsidRPr="00073EEA">
        <w:rPr>
          <w:noProof/>
          <w:color w:val="141313" w:themeColor="text1"/>
          <w:sz w:val="18"/>
          <w:lang w:eastAsia="en-US"/>
        </w:rPr>
        <w:pict>
          <v:shape id="_x0000_s1042" type="#_x0000_t202" style="position:absolute;left:0;text-align:left;margin-left:-2.3pt;margin-top:100.6pt;width:529pt;height:53.95pt;z-index:251650048;mso-height-percent:200;mso-height-percent:200;mso-width-relative:margin;mso-height-relative:margin">
            <v:textbox style="mso-next-textbox:#_x0000_s1042;mso-fit-shape-to-text:t">
              <w:txbxContent>
                <w:p w:rsidR="00856114" w:rsidRPr="00DC2CD5" w:rsidRDefault="00856114" w:rsidP="00D77416">
                  <w:pPr>
                    <w:rPr>
                      <w:b/>
                      <w:i/>
                    </w:rPr>
                  </w:pPr>
                  <w:r w:rsidRPr="00DC2CD5">
                    <w:rPr>
                      <w:b/>
                      <w:i/>
                    </w:rPr>
                    <w:t>Key:</w:t>
                  </w:r>
                </w:p>
                <w:p w:rsidR="00856114" w:rsidRDefault="00856114" w:rsidP="00D77416">
                  <w:pPr>
                    <w:jc w:val="both"/>
                  </w:pPr>
                  <w:r>
                    <w:t xml:space="preserve">MT = million </w:t>
                  </w:r>
                  <w:proofErr w:type="spellStart"/>
                  <w:r>
                    <w:t>tonnes</w:t>
                  </w:r>
                  <w:proofErr w:type="spellEnd"/>
                  <w:r>
                    <w:tab/>
                  </w:r>
                  <w:r>
                    <w:tab/>
                  </w:r>
                  <w:r>
                    <w:tab/>
                    <w:t xml:space="preserve">MTPA = million </w:t>
                  </w:r>
                  <w:proofErr w:type="spellStart"/>
                  <w:r>
                    <w:t>tonnes</w:t>
                  </w:r>
                  <w:proofErr w:type="spellEnd"/>
                  <w:r>
                    <w:t xml:space="preserve"> per annum</w:t>
                  </w:r>
                  <w:r>
                    <w:tab/>
                    <w:t>cm = cubic meters</w:t>
                  </w:r>
                </w:p>
                <w:p w:rsidR="00856114" w:rsidRDefault="00856114" w:rsidP="00D77416">
                  <w:proofErr w:type="spellStart"/>
                  <w:proofErr w:type="gramStart"/>
                  <w:r>
                    <w:t>mcm</w:t>
                  </w:r>
                  <w:proofErr w:type="spellEnd"/>
                  <w:proofErr w:type="gramEnd"/>
                  <w:r>
                    <w:t xml:space="preserve"> = thousand cubic meters</w:t>
                  </w:r>
                  <w:r>
                    <w:tab/>
                  </w:r>
                  <w:r>
                    <w:tab/>
                  </w:r>
                  <w:proofErr w:type="spellStart"/>
                  <w:r>
                    <w:t>mmcm</w:t>
                  </w:r>
                  <w:proofErr w:type="spellEnd"/>
                  <w:r>
                    <w:t xml:space="preserve"> = million cubic meters</w:t>
                  </w:r>
                  <w:r>
                    <w:tab/>
                  </w:r>
                  <w:r>
                    <w:tab/>
                  </w:r>
                  <w:proofErr w:type="spellStart"/>
                  <w:r>
                    <w:t>bcm</w:t>
                  </w:r>
                  <w:proofErr w:type="spellEnd"/>
                  <w:r>
                    <w:t xml:space="preserve"> = billion cubic meters</w:t>
                  </w:r>
                </w:p>
                <w:p w:rsidR="00856114" w:rsidRDefault="00856114" w:rsidP="009540C3">
                  <w:proofErr w:type="spellStart"/>
                  <w:proofErr w:type="gramStart"/>
                  <w:r>
                    <w:t>tcm</w:t>
                  </w:r>
                  <w:proofErr w:type="spellEnd"/>
                  <w:proofErr w:type="gramEnd"/>
                  <w:r>
                    <w:t xml:space="preserve"> = trillion cubic meters</w:t>
                  </w:r>
                  <w:r>
                    <w:tab/>
                  </w:r>
                  <w:r>
                    <w:tab/>
                  </w:r>
                  <w:proofErr w:type="spellStart"/>
                  <w:r>
                    <w:t>mmBtu</w:t>
                  </w:r>
                  <w:proofErr w:type="spellEnd"/>
                  <w:r>
                    <w:t xml:space="preserve"> = million British thermal units</w:t>
                  </w:r>
                  <w:r>
                    <w:tab/>
                  </w:r>
                  <w:proofErr w:type="spellStart"/>
                  <w:r>
                    <w:t>tcf</w:t>
                  </w:r>
                  <w:proofErr w:type="spellEnd"/>
                  <w:r>
                    <w:t xml:space="preserve"> = trillion cubic feet</w:t>
                  </w:r>
                  <w:r>
                    <w:tab/>
                  </w:r>
                </w:p>
              </w:txbxContent>
            </v:textbox>
            <w10:wrap type="square"/>
          </v:shape>
        </w:pict>
      </w:r>
      <w:r w:rsidR="00890148" w:rsidRPr="00890148">
        <w:rPr>
          <w:b/>
          <w:color w:val="215A99"/>
          <w:sz w:val="18"/>
          <w:lang w:val="en-GB"/>
        </w:rPr>
        <w:t>New Liquefaction Tranches:</w:t>
      </w:r>
      <w:r w:rsidR="00890148">
        <w:rPr>
          <w:color w:val="141313" w:themeColor="text1"/>
          <w:sz w:val="18"/>
          <w:lang w:val="en-GB"/>
        </w:rPr>
        <w:t xml:space="preserve"> </w:t>
      </w:r>
      <w:r w:rsidR="00D77416">
        <w:rPr>
          <w:color w:val="141313" w:themeColor="text1"/>
          <w:sz w:val="18"/>
          <w:lang w:val="en-GB"/>
        </w:rPr>
        <w:t xml:space="preserve">The industry is now trying to gauge how emerging LNG plays will develop and whether new pricing structures will prevail rather than the traditional oil-indexed contracts.  Specifically there are new supply </w:t>
      </w:r>
      <w:r w:rsidR="001230AE">
        <w:rPr>
          <w:color w:val="141313" w:themeColor="text1"/>
          <w:sz w:val="18"/>
          <w:lang w:val="en-GB"/>
        </w:rPr>
        <w:t xml:space="preserve">regions </w:t>
      </w:r>
      <w:r w:rsidR="00D77416">
        <w:rPr>
          <w:color w:val="141313" w:themeColor="text1"/>
          <w:sz w:val="18"/>
          <w:lang w:val="en-GB"/>
        </w:rPr>
        <w:t xml:space="preserve">that </w:t>
      </w:r>
      <w:r w:rsidR="001230AE">
        <w:rPr>
          <w:color w:val="141313" w:themeColor="text1"/>
          <w:sz w:val="18"/>
          <w:lang w:val="en-GB"/>
        </w:rPr>
        <w:t xml:space="preserve">could </w:t>
      </w:r>
      <w:r w:rsidR="00D77416">
        <w:rPr>
          <w:color w:val="141313" w:themeColor="text1"/>
          <w:sz w:val="18"/>
          <w:lang w:val="en-GB"/>
        </w:rPr>
        <w:t>impact the LNG market i</w:t>
      </w:r>
      <w:r w:rsidR="00890148">
        <w:rPr>
          <w:color w:val="141313" w:themeColor="text1"/>
          <w:sz w:val="18"/>
          <w:lang w:val="en-GB"/>
        </w:rPr>
        <w:t xml:space="preserve">n a material way: </w:t>
      </w:r>
      <w:r w:rsidR="00890148" w:rsidRPr="00890148">
        <w:rPr>
          <w:b/>
          <w:color w:val="141313" w:themeColor="text1"/>
          <w:sz w:val="18"/>
          <w:lang w:val="en-GB"/>
        </w:rPr>
        <w:t>US Gulf Coast</w:t>
      </w:r>
      <w:r w:rsidR="00890148">
        <w:rPr>
          <w:color w:val="141313" w:themeColor="text1"/>
          <w:sz w:val="18"/>
          <w:lang w:val="en-GB"/>
        </w:rPr>
        <w:t xml:space="preserve"> and</w:t>
      </w:r>
      <w:r w:rsidR="00D77416">
        <w:rPr>
          <w:color w:val="141313" w:themeColor="text1"/>
          <w:sz w:val="18"/>
          <w:lang w:val="en-GB"/>
        </w:rPr>
        <w:t xml:space="preserve"> </w:t>
      </w:r>
      <w:r w:rsidR="00D77416" w:rsidRPr="00890148">
        <w:rPr>
          <w:b/>
          <w:color w:val="141313" w:themeColor="text1"/>
          <w:sz w:val="18"/>
          <w:lang w:val="en-GB"/>
        </w:rPr>
        <w:t>Western Canada</w:t>
      </w:r>
      <w:r w:rsidR="00890148">
        <w:rPr>
          <w:color w:val="141313" w:themeColor="text1"/>
          <w:sz w:val="18"/>
          <w:lang w:val="en-GB"/>
        </w:rPr>
        <w:t xml:space="preserve"> due to the emergence of shale gas</w:t>
      </w:r>
      <w:r w:rsidR="00D77416">
        <w:rPr>
          <w:color w:val="141313" w:themeColor="text1"/>
          <w:sz w:val="18"/>
          <w:lang w:val="en-GB"/>
        </w:rPr>
        <w:t xml:space="preserve">, </w:t>
      </w:r>
      <w:r w:rsidR="00D77416" w:rsidRPr="00890148">
        <w:rPr>
          <w:b/>
          <w:color w:val="141313" w:themeColor="text1"/>
          <w:sz w:val="18"/>
          <w:lang w:val="en-GB"/>
        </w:rPr>
        <w:t>East Africa</w:t>
      </w:r>
      <w:r w:rsidR="00890148">
        <w:rPr>
          <w:color w:val="141313" w:themeColor="text1"/>
          <w:sz w:val="18"/>
          <w:lang w:val="en-GB"/>
        </w:rPr>
        <w:t xml:space="preserve"> due to prolific new deepwater basins</w:t>
      </w:r>
      <w:r w:rsidR="00D77416">
        <w:rPr>
          <w:color w:val="141313" w:themeColor="text1"/>
          <w:sz w:val="18"/>
          <w:lang w:val="en-GB"/>
        </w:rPr>
        <w:t xml:space="preserve">, </w:t>
      </w:r>
      <w:r w:rsidR="00D77416" w:rsidRPr="00890148">
        <w:rPr>
          <w:b/>
          <w:color w:val="141313" w:themeColor="text1"/>
          <w:sz w:val="18"/>
          <w:lang w:val="en-GB"/>
        </w:rPr>
        <w:t>floating LNG globally</w:t>
      </w:r>
      <w:r w:rsidR="00890148">
        <w:rPr>
          <w:color w:val="141313" w:themeColor="text1"/>
          <w:sz w:val="18"/>
          <w:lang w:val="en-GB"/>
        </w:rPr>
        <w:t xml:space="preserve"> because of stranded gas</w:t>
      </w:r>
      <w:r w:rsidR="00D77416">
        <w:rPr>
          <w:color w:val="141313" w:themeColor="text1"/>
          <w:sz w:val="18"/>
          <w:lang w:val="en-GB"/>
        </w:rPr>
        <w:t xml:space="preserve">, and </w:t>
      </w:r>
      <w:r w:rsidR="00D77416" w:rsidRPr="00890148">
        <w:rPr>
          <w:b/>
          <w:color w:val="141313" w:themeColor="text1"/>
          <w:sz w:val="18"/>
          <w:lang w:val="en-GB"/>
        </w:rPr>
        <w:t>Asia Pacific brownfield</w:t>
      </w:r>
      <w:r w:rsidR="00D77416">
        <w:rPr>
          <w:color w:val="141313" w:themeColor="text1"/>
          <w:sz w:val="18"/>
          <w:lang w:val="en-GB"/>
        </w:rPr>
        <w:t xml:space="preserve"> projects.  </w:t>
      </w:r>
    </w:p>
    <w:p w:rsidR="001B4F37" w:rsidRDefault="001B4F37" w:rsidP="00D77416">
      <w:pPr>
        <w:spacing w:line="252" w:lineRule="auto"/>
        <w:ind w:left="180"/>
        <w:jc w:val="both"/>
        <w:rPr>
          <w:b/>
          <w:color w:val="215A99"/>
          <w:sz w:val="18"/>
          <w:lang w:val="en-GB"/>
        </w:rPr>
      </w:pPr>
    </w:p>
    <w:p w:rsidR="00D77416" w:rsidRPr="00890148" w:rsidRDefault="00890148" w:rsidP="00D77416">
      <w:pPr>
        <w:spacing w:line="252" w:lineRule="auto"/>
        <w:ind w:left="180"/>
        <w:jc w:val="both"/>
        <w:rPr>
          <w:color w:val="FF0000"/>
          <w:sz w:val="18"/>
          <w:lang w:val="en-GB"/>
        </w:rPr>
      </w:pPr>
      <w:r w:rsidRPr="00890148">
        <w:rPr>
          <w:b/>
          <w:color w:val="215A99"/>
          <w:sz w:val="18"/>
          <w:lang w:val="en-GB"/>
        </w:rPr>
        <w:t>Regasification Terminals:</w:t>
      </w:r>
      <w:r>
        <w:rPr>
          <w:color w:val="141313" w:themeColor="text1"/>
          <w:sz w:val="18"/>
          <w:lang w:val="en-GB"/>
        </w:rPr>
        <w:t xml:space="preserve"> </w:t>
      </w:r>
      <w:r w:rsidR="00D77416">
        <w:rPr>
          <w:color w:val="141313" w:themeColor="text1"/>
          <w:sz w:val="18"/>
          <w:lang w:val="en-GB"/>
        </w:rPr>
        <w:t xml:space="preserve">Global regasification capacity continued to grow in 2012 – to 642 </w:t>
      </w:r>
      <w:r w:rsidR="005E57B6">
        <w:rPr>
          <w:color w:val="141313" w:themeColor="text1"/>
          <w:sz w:val="18"/>
          <w:lang w:val="en-GB"/>
        </w:rPr>
        <w:t>MTPA</w:t>
      </w:r>
      <w:r w:rsidR="00D77416">
        <w:rPr>
          <w:color w:val="141313" w:themeColor="text1"/>
          <w:sz w:val="18"/>
          <w:lang w:val="en-GB"/>
        </w:rPr>
        <w:t xml:space="preserve"> – despite the </w:t>
      </w:r>
      <w:r w:rsidR="00EA06E9">
        <w:rPr>
          <w:color w:val="141313" w:themeColor="text1"/>
          <w:sz w:val="18"/>
          <w:lang w:val="en-GB"/>
        </w:rPr>
        <w:t xml:space="preserve">slight </w:t>
      </w:r>
      <w:r w:rsidR="00D77416">
        <w:rPr>
          <w:color w:val="141313" w:themeColor="text1"/>
          <w:sz w:val="18"/>
          <w:lang w:val="en-GB"/>
        </w:rPr>
        <w:t>drop in global LNG trade, reflecting the increased demand for gas (</w:t>
      </w:r>
      <w:r w:rsidR="00D77416" w:rsidRPr="004C5F83">
        <w:rPr>
          <w:sz w:val="18"/>
          <w:lang w:val="en-GB"/>
        </w:rPr>
        <w:t>and LNG) in a shifting and ever-larger number of markets. </w:t>
      </w:r>
      <w:r w:rsidRPr="004C5F83">
        <w:rPr>
          <w:sz w:val="18"/>
          <w:lang w:val="en-GB"/>
        </w:rPr>
        <w:t xml:space="preserve"> </w:t>
      </w:r>
      <w:r w:rsidRPr="004C5F83">
        <w:rPr>
          <w:b/>
          <w:sz w:val="18"/>
          <w:lang w:val="en-GB"/>
        </w:rPr>
        <w:t>Regasification utilization fell</w:t>
      </w:r>
      <w:r w:rsidRPr="004C5F83">
        <w:rPr>
          <w:sz w:val="18"/>
          <w:lang w:val="en-GB"/>
        </w:rPr>
        <w:t xml:space="preserve"> from </w:t>
      </w:r>
      <w:r w:rsidR="00EA06E9" w:rsidRPr="004C5F83">
        <w:rPr>
          <w:sz w:val="18"/>
          <w:lang w:val="en-GB"/>
        </w:rPr>
        <w:t>40</w:t>
      </w:r>
      <w:r w:rsidRPr="004C5F83">
        <w:rPr>
          <w:sz w:val="18"/>
          <w:lang w:val="en-GB"/>
        </w:rPr>
        <w:t xml:space="preserve">% in 2011 to </w:t>
      </w:r>
      <w:r w:rsidR="00EA06E9" w:rsidRPr="004C5F83">
        <w:rPr>
          <w:b/>
          <w:sz w:val="18"/>
          <w:lang w:val="en-GB"/>
        </w:rPr>
        <w:t>37</w:t>
      </w:r>
      <w:r w:rsidRPr="004C5F83">
        <w:rPr>
          <w:b/>
          <w:sz w:val="18"/>
          <w:lang w:val="en-GB"/>
        </w:rPr>
        <w:t>% in 2012</w:t>
      </w:r>
      <w:r w:rsidRPr="004C5F83">
        <w:rPr>
          <w:sz w:val="18"/>
          <w:lang w:val="en-GB"/>
        </w:rPr>
        <w:t xml:space="preserve">. Since </w:t>
      </w:r>
      <w:r w:rsidR="00E13E06" w:rsidRPr="004C5F83">
        <w:rPr>
          <w:sz w:val="18"/>
          <w:lang w:val="en-GB"/>
        </w:rPr>
        <w:t>mid-</w:t>
      </w:r>
      <w:r w:rsidRPr="004C5F83">
        <w:rPr>
          <w:sz w:val="18"/>
          <w:lang w:val="en-GB"/>
        </w:rPr>
        <w:t xml:space="preserve">2012, </w:t>
      </w:r>
      <w:r w:rsidR="00E13E06" w:rsidRPr="004C5F83">
        <w:rPr>
          <w:sz w:val="18"/>
          <w:lang w:val="en-GB"/>
        </w:rPr>
        <w:t xml:space="preserve">two new countries have brought online regasification capacity: </w:t>
      </w:r>
      <w:r w:rsidR="00EA06E9" w:rsidRPr="004C5F83">
        <w:rPr>
          <w:sz w:val="18"/>
          <w:lang w:val="en-GB"/>
        </w:rPr>
        <w:t xml:space="preserve">Indonesia </w:t>
      </w:r>
      <w:r w:rsidR="00E13E06" w:rsidRPr="004C5F83">
        <w:rPr>
          <w:sz w:val="18"/>
          <w:lang w:val="en-GB"/>
        </w:rPr>
        <w:t xml:space="preserve">in August 2012 </w:t>
      </w:r>
      <w:r w:rsidR="00EA06E9" w:rsidRPr="004C5F83">
        <w:rPr>
          <w:sz w:val="18"/>
          <w:lang w:val="en-GB"/>
        </w:rPr>
        <w:t xml:space="preserve">and Israel </w:t>
      </w:r>
      <w:r w:rsidR="00E13E06" w:rsidRPr="004C5F83">
        <w:rPr>
          <w:sz w:val="18"/>
          <w:lang w:val="en-GB"/>
        </w:rPr>
        <w:t xml:space="preserve">in January 2013. In 2013, </w:t>
      </w:r>
      <w:r w:rsidRPr="004C5F83">
        <w:rPr>
          <w:sz w:val="18"/>
          <w:lang w:val="en-GB"/>
        </w:rPr>
        <w:t xml:space="preserve">Singapore and Malaysia </w:t>
      </w:r>
      <w:r w:rsidR="00E13E06" w:rsidRPr="004C5F83">
        <w:rPr>
          <w:sz w:val="18"/>
          <w:lang w:val="en-GB"/>
        </w:rPr>
        <w:t xml:space="preserve">began </w:t>
      </w:r>
      <w:r w:rsidRPr="004C5F83">
        <w:rPr>
          <w:sz w:val="18"/>
          <w:lang w:val="en-GB"/>
        </w:rPr>
        <w:t xml:space="preserve">commissioning their first terminals. </w:t>
      </w:r>
      <w:r w:rsidR="001230AE" w:rsidRPr="004C5F83">
        <w:rPr>
          <w:sz w:val="18"/>
          <w:lang w:val="en-GB"/>
        </w:rPr>
        <w:t xml:space="preserve">  </w:t>
      </w:r>
      <w:r w:rsidR="005E57B6" w:rsidRPr="004C5F83">
        <w:rPr>
          <w:sz w:val="18"/>
          <w:lang w:val="en-GB"/>
        </w:rPr>
        <w:t>Malaysia in particular is noteworthy since it has traditionally been an LNG exporter</w:t>
      </w:r>
      <w:r w:rsidR="005E57B6" w:rsidRPr="00EA06E9">
        <w:rPr>
          <w:sz w:val="18"/>
          <w:lang w:val="en-GB"/>
        </w:rPr>
        <w:t xml:space="preserve"> – like </w:t>
      </w:r>
      <w:r w:rsidR="001230AE" w:rsidRPr="00EA06E9">
        <w:rPr>
          <w:sz w:val="18"/>
          <w:lang w:val="en-GB"/>
        </w:rPr>
        <w:t>Indonesia and the UAE</w:t>
      </w:r>
      <w:r w:rsidR="005E57B6" w:rsidRPr="00EA06E9">
        <w:rPr>
          <w:sz w:val="18"/>
          <w:lang w:val="en-GB"/>
        </w:rPr>
        <w:t xml:space="preserve"> – but has turned to LNG imports to meet regional gas imbalances</w:t>
      </w:r>
      <w:r w:rsidR="001230AE" w:rsidRPr="00EA06E9">
        <w:rPr>
          <w:sz w:val="18"/>
          <w:lang w:val="en-GB"/>
        </w:rPr>
        <w:t>.</w:t>
      </w:r>
    </w:p>
    <w:p w:rsidR="00890148" w:rsidRDefault="00890148" w:rsidP="00D77416">
      <w:pPr>
        <w:spacing w:line="252" w:lineRule="auto"/>
        <w:ind w:left="180"/>
        <w:jc w:val="both"/>
        <w:rPr>
          <w:color w:val="141313" w:themeColor="text1"/>
          <w:sz w:val="18"/>
          <w:lang w:val="en-GB"/>
        </w:rPr>
      </w:pPr>
    </w:p>
    <w:p w:rsidR="00D77416" w:rsidRDefault="00890148" w:rsidP="00D77416">
      <w:pPr>
        <w:spacing w:line="252" w:lineRule="auto"/>
        <w:ind w:left="180"/>
        <w:jc w:val="both"/>
        <w:rPr>
          <w:color w:val="141313" w:themeColor="text1"/>
          <w:sz w:val="18"/>
          <w:lang w:val="en-GB"/>
        </w:rPr>
      </w:pPr>
      <w:r w:rsidRPr="00890148">
        <w:rPr>
          <w:b/>
          <w:color w:val="215A99"/>
          <w:sz w:val="18"/>
          <w:lang w:val="en-GB"/>
        </w:rPr>
        <w:t xml:space="preserve">Floating Regasification: </w:t>
      </w:r>
      <w:r w:rsidR="00D77416">
        <w:rPr>
          <w:color w:val="141313" w:themeColor="text1"/>
          <w:sz w:val="18"/>
          <w:lang w:val="en-GB"/>
        </w:rPr>
        <w:t xml:space="preserve">By end-2012, the floating regasification market reached </w:t>
      </w:r>
      <w:r w:rsidR="00D77416" w:rsidRPr="0053358C">
        <w:rPr>
          <w:b/>
          <w:color w:val="141313" w:themeColor="text1"/>
          <w:sz w:val="18"/>
          <w:lang w:val="en-GB"/>
        </w:rPr>
        <w:t xml:space="preserve">32.0 </w:t>
      </w:r>
      <w:r w:rsidR="005E57B6" w:rsidRPr="0053358C">
        <w:rPr>
          <w:b/>
          <w:color w:val="141313" w:themeColor="text1"/>
          <w:sz w:val="18"/>
          <w:lang w:val="en-GB"/>
        </w:rPr>
        <w:t>MTPA</w:t>
      </w:r>
      <w:r w:rsidR="00D77416" w:rsidRPr="0053358C">
        <w:rPr>
          <w:b/>
          <w:color w:val="141313" w:themeColor="text1"/>
          <w:sz w:val="18"/>
          <w:lang w:val="en-GB"/>
        </w:rPr>
        <w:t xml:space="preserve"> of import capacity</w:t>
      </w:r>
      <w:r w:rsidR="00D77416">
        <w:rPr>
          <w:color w:val="141313" w:themeColor="text1"/>
          <w:sz w:val="18"/>
          <w:lang w:val="en-GB"/>
        </w:rPr>
        <w:t xml:space="preserve"> spread across seven countries. Israel brought </w:t>
      </w:r>
      <w:proofErr w:type="spellStart"/>
      <w:r w:rsidR="00D77416">
        <w:rPr>
          <w:color w:val="141313" w:themeColor="text1"/>
          <w:sz w:val="18"/>
          <w:lang w:val="en-GB"/>
        </w:rPr>
        <w:t>Hadera</w:t>
      </w:r>
      <w:proofErr w:type="spellEnd"/>
      <w:r w:rsidR="00D77416">
        <w:rPr>
          <w:color w:val="141313" w:themeColor="text1"/>
          <w:sz w:val="18"/>
          <w:lang w:val="en-GB"/>
        </w:rPr>
        <w:t xml:space="preserve"> Gateway </w:t>
      </w:r>
      <w:r w:rsidR="00FA65C1">
        <w:rPr>
          <w:color w:val="141313" w:themeColor="text1"/>
          <w:sz w:val="18"/>
          <w:lang w:val="en-GB"/>
        </w:rPr>
        <w:t xml:space="preserve">online </w:t>
      </w:r>
      <w:r w:rsidR="00D77416">
        <w:rPr>
          <w:color w:val="141313" w:themeColor="text1"/>
          <w:sz w:val="18"/>
          <w:lang w:val="en-GB"/>
        </w:rPr>
        <w:t xml:space="preserve">in January 2013.   Utilization levels varied significantly depending on the technical characteristics of the projects’ vessels and the level of local demand.   The Middle East and South America had the highest levels of utilization in 2012. </w:t>
      </w:r>
    </w:p>
    <w:p w:rsidR="00D77416" w:rsidRDefault="00D77416" w:rsidP="00D77416">
      <w:pPr>
        <w:spacing w:line="252" w:lineRule="auto"/>
        <w:ind w:left="180"/>
        <w:jc w:val="both"/>
        <w:rPr>
          <w:color w:val="141313" w:themeColor="text1"/>
          <w:sz w:val="18"/>
          <w:lang w:val="en-GB"/>
        </w:rPr>
      </w:pPr>
    </w:p>
    <w:p w:rsidR="00D77416" w:rsidRDefault="00890148" w:rsidP="00D77416">
      <w:pPr>
        <w:spacing w:line="252" w:lineRule="auto"/>
        <w:ind w:left="180"/>
        <w:jc w:val="both"/>
        <w:rPr>
          <w:color w:val="141313" w:themeColor="text1"/>
          <w:sz w:val="18"/>
          <w:lang w:val="en-GB"/>
        </w:rPr>
      </w:pPr>
      <w:r w:rsidRPr="00890148">
        <w:rPr>
          <w:b/>
          <w:color w:val="215A99"/>
          <w:sz w:val="18"/>
          <w:lang w:val="en-GB"/>
        </w:rPr>
        <w:t>Shipping Fleet:</w:t>
      </w:r>
      <w:r>
        <w:rPr>
          <w:color w:val="141313" w:themeColor="text1"/>
          <w:sz w:val="18"/>
          <w:lang w:val="en-GB"/>
        </w:rPr>
        <w:t xml:space="preserve"> </w:t>
      </w:r>
      <w:r w:rsidR="005E57B6" w:rsidRPr="00EA06E9">
        <w:rPr>
          <w:sz w:val="18"/>
          <w:lang w:val="en-GB"/>
        </w:rPr>
        <w:t xml:space="preserve">At the end of 2012, the </w:t>
      </w:r>
      <w:r w:rsidR="005E57B6" w:rsidRPr="000E2CED">
        <w:rPr>
          <w:b/>
          <w:sz w:val="18"/>
          <w:lang w:val="en-GB"/>
        </w:rPr>
        <w:t>gl</w:t>
      </w:r>
      <w:r w:rsidR="005E57B6" w:rsidRPr="0053358C">
        <w:rPr>
          <w:b/>
          <w:sz w:val="18"/>
          <w:lang w:val="en-GB"/>
        </w:rPr>
        <w:t>obal LNG fleet consisted of 362 vessels</w:t>
      </w:r>
      <w:r w:rsidR="005E57B6" w:rsidRPr="00EA06E9">
        <w:rPr>
          <w:sz w:val="18"/>
          <w:lang w:val="en-GB"/>
        </w:rPr>
        <w:t xml:space="preserve"> of all types, with a combined capacity of 54 </w:t>
      </w:r>
      <w:proofErr w:type="spellStart"/>
      <w:r w:rsidR="005E57B6" w:rsidRPr="00EA06E9">
        <w:rPr>
          <w:sz w:val="18"/>
          <w:lang w:val="en-GB"/>
        </w:rPr>
        <w:t>bcm</w:t>
      </w:r>
      <w:proofErr w:type="spellEnd"/>
      <w:r w:rsidR="005E57B6" w:rsidRPr="00EA06E9">
        <w:rPr>
          <w:sz w:val="18"/>
          <w:lang w:val="en-GB"/>
        </w:rPr>
        <w:t xml:space="preserve"> (vessels below 18,000 cm are not counted in the global fleet for the purposes of this report). This is </w:t>
      </w:r>
      <w:r w:rsidR="00D77416" w:rsidRPr="00EA06E9">
        <w:rPr>
          <w:sz w:val="18"/>
          <w:lang w:val="en-GB"/>
        </w:rPr>
        <w:t xml:space="preserve">more than one and a half times the </w:t>
      </w:r>
      <w:r w:rsidR="00D77416" w:rsidRPr="00E1039A">
        <w:rPr>
          <w:sz w:val="18"/>
          <w:lang w:val="en-GB"/>
        </w:rPr>
        <w:t xml:space="preserve">size of the fleet at the end of 2006.  </w:t>
      </w:r>
      <w:r w:rsidR="005E57B6" w:rsidRPr="00E1039A">
        <w:rPr>
          <w:sz w:val="18"/>
          <w:lang w:val="en-GB"/>
        </w:rPr>
        <w:t xml:space="preserve">The fleet grew by </w:t>
      </w:r>
      <w:r w:rsidR="00C72C82">
        <w:rPr>
          <w:sz w:val="18"/>
          <w:lang w:val="en-GB"/>
        </w:rPr>
        <w:t xml:space="preserve">two vessels in 2012: one was delivered for use at </w:t>
      </w:r>
      <w:r w:rsidR="004C5F83" w:rsidRPr="00E1039A">
        <w:rPr>
          <w:sz w:val="18"/>
          <w:lang w:val="en-GB"/>
        </w:rPr>
        <w:t xml:space="preserve">Malaysia LNG and </w:t>
      </w:r>
      <w:r w:rsidR="00C72C82">
        <w:rPr>
          <w:sz w:val="18"/>
          <w:lang w:val="en-GB"/>
        </w:rPr>
        <w:t xml:space="preserve">the other for </w:t>
      </w:r>
      <w:r w:rsidR="004C5F83" w:rsidRPr="00E1039A">
        <w:rPr>
          <w:sz w:val="18"/>
          <w:lang w:val="en-GB"/>
        </w:rPr>
        <w:t xml:space="preserve">Angola LNG. </w:t>
      </w:r>
      <w:r w:rsidR="00D77416" w:rsidRPr="00E1039A">
        <w:rPr>
          <w:sz w:val="18"/>
          <w:lang w:val="en-GB"/>
        </w:rPr>
        <w:t>The order book for new vessels stood at 96, equiva</w:t>
      </w:r>
      <w:r w:rsidR="00206280" w:rsidRPr="00E1039A">
        <w:rPr>
          <w:sz w:val="18"/>
          <w:lang w:val="en-GB"/>
        </w:rPr>
        <w:t xml:space="preserve">lent to 16 </w:t>
      </w:r>
      <w:proofErr w:type="spellStart"/>
      <w:r w:rsidR="00206280" w:rsidRPr="00E1039A">
        <w:rPr>
          <w:sz w:val="18"/>
          <w:lang w:val="en-GB"/>
        </w:rPr>
        <w:t>mmcm</w:t>
      </w:r>
      <w:proofErr w:type="spellEnd"/>
      <w:r w:rsidR="00206280" w:rsidRPr="00E1039A">
        <w:rPr>
          <w:sz w:val="18"/>
          <w:lang w:val="en-GB"/>
        </w:rPr>
        <w:t xml:space="preserve"> of new capacity</w:t>
      </w:r>
      <w:r w:rsidR="00D77416" w:rsidRPr="00E1039A">
        <w:rPr>
          <w:sz w:val="18"/>
          <w:lang w:val="en-GB"/>
        </w:rPr>
        <w:t xml:space="preserve">. By </w:t>
      </w:r>
      <w:r w:rsidR="008612F9">
        <w:rPr>
          <w:sz w:val="18"/>
          <w:lang w:val="en-GB"/>
        </w:rPr>
        <w:t>end-</w:t>
      </w:r>
      <w:r w:rsidR="00D77416" w:rsidRPr="00E1039A">
        <w:rPr>
          <w:sz w:val="18"/>
          <w:lang w:val="en-GB"/>
        </w:rPr>
        <w:t>2012, spot rates for modern tonnage moderated to the</w:t>
      </w:r>
      <w:r w:rsidR="00D77416">
        <w:rPr>
          <w:color w:val="141313" w:themeColor="text1"/>
          <w:sz w:val="18"/>
          <w:lang w:val="en-GB"/>
        </w:rPr>
        <w:t xml:space="preserve"> level of </w:t>
      </w:r>
      <w:r w:rsidR="005E57B6">
        <w:rPr>
          <w:color w:val="141313" w:themeColor="text1"/>
          <w:sz w:val="18"/>
          <w:lang w:val="en-GB"/>
        </w:rPr>
        <w:t>US</w:t>
      </w:r>
      <w:r w:rsidR="00D77416">
        <w:rPr>
          <w:color w:val="141313" w:themeColor="text1"/>
          <w:sz w:val="18"/>
          <w:lang w:val="en-GB"/>
        </w:rPr>
        <w:t xml:space="preserve">$120,000/day after growing to </w:t>
      </w:r>
      <w:r w:rsidR="005E57B6">
        <w:rPr>
          <w:color w:val="141313" w:themeColor="text1"/>
          <w:sz w:val="18"/>
          <w:lang w:val="en-GB"/>
        </w:rPr>
        <w:t>US</w:t>
      </w:r>
      <w:r w:rsidR="00D77416">
        <w:rPr>
          <w:color w:val="141313" w:themeColor="text1"/>
          <w:sz w:val="18"/>
          <w:lang w:val="en-GB"/>
        </w:rPr>
        <w:t>$78,000/day in 2011.</w:t>
      </w:r>
      <w:r w:rsidR="00931B39">
        <w:rPr>
          <w:color w:val="141313" w:themeColor="text1"/>
          <w:sz w:val="18"/>
          <w:lang w:val="en-GB"/>
        </w:rPr>
        <w:t xml:space="preserve"> </w:t>
      </w:r>
    </w:p>
    <w:p w:rsidR="00D77416" w:rsidRDefault="00D77416" w:rsidP="00D77416">
      <w:pPr>
        <w:spacing w:line="252" w:lineRule="auto"/>
        <w:ind w:left="180"/>
        <w:jc w:val="both"/>
        <w:rPr>
          <w:color w:val="141313" w:themeColor="text1"/>
          <w:sz w:val="18"/>
          <w:lang w:val="en-GB"/>
        </w:rPr>
      </w:pPr>
    </w:p>
    <w:p w:rsidR="0053358C" w:rsidRDefault="00F63428" w:rsidP="00D94626">
      <w:pPr>
        <w:spacing w:line="252" w:lineRule="auto"/>
        <w:ind w:left="180"/>
        <w:jc w:val="both"/>
        <w:rPr>
          <w:sz w:val="18"/>
          <w:lang w:val="en-GB"/>
        </w:rPr>
      </w:pPr>
      <w:r w:rsidRPr="00F63428">
        <w:rPr>
          <w:b/>
          <w:color w:val="215A99"/>
          <w:sz w:val="18"/>
          <w:lang w:val="en-GB"/>
        </w:rPr>
        <w:t>North American LNG</w:t>
      </w:r>
      <w:r w:rsidRPr="00890148">
        <w:rPr>
          <w:b/>
          <w:color w:val="215A99"/>
          <w:sz w:val="18"/>
          <w:lang w:val="en-GB"/>
        </w:rPr>
        <w:t>:</w:t>
      </w:r>
      <w:r w:rsidR="007C252E">
        <w:rPr>
          <w:b/>
          <w:sz w:val="18"/>
          <w:lang w:val="en-GB"/>
        </w:rPr>
        <w:t xml:space="preserve"> </w:t>
      </w:r>
      <w:r w:rsidRPr="00EA06E9">
        <w:rPr>
          <w:sz w:val="18"/>
          <w:lang w:val="en-GB"/>
        </w:rPr>
        <w:t>The boom in North American shale gas has created opportunities to export LNG from the US and Canada.  With higher demand in Asi</w:t>
      </w:r>
      <w:r w:rsidR="00EA06E9">
        <w:rPr>
          <w:sz w:val="18"/>
          <w:lang w:val="en-GB"/>
        </w:rPr>
        <w:t>a</w:t>
      </w:r>
      <w:r w:rsidRPr="00EA06E9">
        <w:rPr>
          <w:sz w:val="18"/>
          <w:lang w:val="en-GB"/>
        </w:rPr>
        <w:t xml:space="preserve">, and the perception of lower North American feedstock costs, a new export play is emerging. Over the past years, there have been numerous new project proposals that amount to </w:t>
      </w:r>
      <w:r w:rsidRPr="00D41A5A">
        <w:rPr>
          <w:b/>
          <w:sz w:val="18"/>
          <w:lang w:val="en-GB"/>
        </w:rPr>
        <w:t>~190 MTPA of potential capacity</w:t>
      </w:r>
      <w:r w:rsidRPr="00EA06E9">
        <w:rPr>
          <w:sz w:val="18"/>
          <w:lang w:val="en-GB"/>
        </w:rPr>
        <w:t>.  However, there are a variety of political and commercial risks that will limit output from the region.</w:t>
      </w:r>
    </w:p>
    <w:p w:rsidR="0053358C" w:rsidRDefault="0053358C" w:rsidP="00D94626">
      <w:pPr>
        <w:spacing w:line="252" w:lineRule="auto"/>
        <w:ind w:left="180"/>
        <w:jc w:val="both"/>
        <w:rPr>
          <w:sz w:val="18"/>
          <w:lang w:val="en-GB"/>
        </w:rPr>
      </w:pPr>
    </w:p>
    <w:p w:rsidR="005C075F" w:rsidRPr="004C5F83" w:rsidRDefault="0053358C" w:rsidP="005C075F">
      <w:pPr>
        <w:spacing w:line="252" w:lineRule="auto"/>
        <w:ind w:left="180"/>
        <w:jc w:val="both"/>
        <w:rPr>
          <w:rFonts w:cs="Arial"/>
          <w:bCs/>
          <w:sz w:val="18"/>
          <w:szCs w:val="18"/>
          <w:lang w:val="en-GB"/>
        </w:rPr>
      </w:pPr>
      <w:r w:rsidRPr="0053358C">
        <w:rPr>
          <w:b/>
          <w:color w:val="215A99"/>
          <w:sz w:val="18"/>
          <w:lang w:val="en-GB"/>
        </w:rPr>
        <w:t xml:space="preserve">LNG as </w:t>
      </w:r>
      <w:r w:rsidR="00525178">
        <w:rPr>
          <w:b/>
          <w:color w:val="215A99"/>
          <w:sz w:val="18"/>
          <w:lang w:val="en-GB"/>
        </w:rPr>
        <w:t>Transport</w:t>
      </w:r>
      <w:r w:rsidRPr="0053358C">
        <w:rPr>
          <w:b/>
          <w:color w:val="215A99"/>
          <w:sz w:val="18"/>
          <w:lang w:val="en-GB"/>
        </w:rPr>
        <w:t xml:space="preserve"> Fuel:</w:t>
      </w:r>
      <w:r>
        <w:rPr>
          <w:sz w:val="18"/>
          <w:lang w:val="en-GB"/>
        </w:rPr>
        <w:t xml:space="preserve"> </w:t>
      </w:r>
      <w:r w:rsidR="005C075F" w:rsidRPr="004C5F83">
        <w:rPr>
          <w:rFonts w:cs="Arial"/>
          <w:bCs/>
          <w:sz w:val="18"/>
          <w:szCs w:val="18"/>
          <w:lang w:val="en-GB"/>
        </w:rPr>
        <w:t>LNG use as a transportation fuel is marginal at this time.</w:t>
      </w:r>
      <w:r w:rsidR="005C075F" w:rsidRPr="004C5F83">
        <w:rPr>
          <w:rFonts w:cs="Arial"/>
          <w:sz w:val="18"/>
          <w:szCs w:val="18"/>
          <w:lang w:val="en-GB"/>
        </w:rPr>
        <w:t xml:space="preserve"> However, the divergence of natural gas and oil prices has created an opportunity for increased use. Forthcoming changes to emission standards in the global shipping industry will also boost LNG’s potential in the bunker fuel market. Even with these drivers, commitment of infrastructure investment may dictate LNG’s penetration rate in the transport sector. </w:t>
      </w:r>
    </w:p>
    <w:p w:rsidR="00AE1334" w:rsidRDefault="00AE1334" w:rsidP="00A12283">
      <w:pPr>
        <w:spacing w:line="252" w:lineRule="auto"/>
        <w:jc w:val="both"/>
        <w:rPr>
          <w:sz w:val="18"/>
          <w:lang w:val="en-GB"/>
        </w:rPr>
        <w:sectPr w:rsidR="00AE1334" w:rsidSect="00D94626">
          <w:headerReference w:type="default" r:id="rId14"/>
          <w:headerReference w:type="first" r:id="rId15"/>
          <w:type w:val="continuous"/>
          <w:pgSz w:w="12240" w:h="15840" w:code="1"/>
          <w:pgMar w:top="1728" w:right="1080" w:bottom="1080" w:left="1008" w:header="720" w:footer="504" w:gutter="0"/>
          <w:cols w:num="2" w:space="432"/>
          <w:docGrid w:linePitch="272"/>
        </w:sectPr>
      </w:pPr>
    </w:p>
    <w:p w:rsidR="00D94626" w:rsidRPr="007D0D01" w:rsidRDefault="00D94626" w:rsidP="00D94626">
      <w:pPr>
        <w:pStyle w:val="Titre1"/>
        <w:spacing w:before="60"/>
        <w:rPr>
          <w:iCs/>
          <w:sz w:val="27"/>
          <w:szCs w:val="27"/>
          <w:lang w:val="en-GB"/>
        </w:rPr>
      </w:pPr>
      <w:bookmarkStart w:id="5" w:name="_Toc360628227"/>
      <w:r>
        <w:rPr>
          <w:iCs/>
          <w:sz w:val="27"/>
          <w:szCs w:val="27"/>
          <w:lang w:val="en-GB"/>
        </w:rPr>
        <w:lastRenderedPageBreak/>
        <w:t>3</w:t>
      </w:r>
      <w:r w:rsidRPr="007D0D01">
        <w:rPr>
          <w:iCs/>
          <w:sz w:val="27"/>
          <w:szCs w:val="27"/>
          <w:lang w:val="en-GB"/>
        </w:rPr>
        <w:t xml:space="preserve">.  </w:t>
      </w:r>
      <w:r w:rsidRPr="0010199A">
        <w:rPr>
          <w:iCs/>
          <w:sz w:val="27"/>
          <w:szCs w:val="27"/>
          <w:lang w:val="en-GB"/>
        </w:rPr>
        <w:t>LNG Imports, Exports and Prices</w:t>
      </w:r>
      <w:bookmarkEnd w:id="5"/>
    </w:p>
    <w:p w:rsidR="00D94626" w:rsidRDefault="00D94626" w:rsidP="00D94626">
      <w:pPr>
        <w:spacing w:line="252" w:lineRule="auto"/>
        <w:ind w:left="180"/>
        <w:jc w:val="both"/>
        <w:rPr>
          <w:color w:val="141313" w:themeColor="text1"/>
          <w:sz w:val="18"/>
          <w:szCs w:val="22"/>
          <w:lang w:val="en-GB"/>
        </w:rPr>
        <w:sectPr w:rsidR="00D94626" w:rsidSect="000563A4">
          <w:type w:val="continuous"/>
          <w:pgSz w:w="12240" w:h="15840" w:code="1"/>
          <w:pgMar w:top="1728" w:right="1080" w:bottom="1080" w:left="1008" w:header="576" w:footer="504" w:gutter="0"/>
          <w:cols w:space="720"/>
          <w:docGrid w:linePitch="272"/>
        </w:sectPr>
      </w:pPr>
    </w:p>
    <w:p w:rsidR="00D94626" w:rsidRPr="00C5612C" w:rsidRDefault="00D94626" w:rsidP="00D94626">
      <w:pPr>
        <w:spacing w:after="120" w:line="252" w:lineRule="auto"/>
        <w:jc w:val="both"/>
        <w:rPr>
          <w:b/>
          <w:i/>
          <w:color w:val="215A99"/>
          <w:sz w:val="18"/>
          <w:szCs w:val="22"/>
          <w:lang w:val="en-GB"/>
        </w:rPr>
      </w:pPr>
      <w:r w:rsidRPr="00C5612C">
        <w:rPr>
          <w:b/>
          <w:i/>
          <w:color w:val="215A99"/>
          <w:sz w:val="18"/>
          <w:szCs w:val="22"/>
          <w:lang w:val="en-GB"/>
        </w:rPr>
        <w:lastRenderedPageBreak/>
        <w:t xml:space="preserve">After 30 consecutive years of growth LNG trade fell in 2012. Despite the decline in traded volumes vis-à-vis 2011, LNG trade has </w:t>
      </w:r>
      <w:r w:rsidRPr="00542E7D">
        <w:rPr>
          <w:b/>
          <w:i/>
          <w:color w:val="215A99"/>
          <w:sz w:val="18"/>
          <w:szCs w:val="22"/>
          <w:lang w:val="en-GB"/>
        </w:rPr>
        <w:t>increased by 3</w:t>
      </w:r>
      <w:r w:rsidR="001A4D75">
        <w:rPr>
          <w:b/>
          <w:i/>
          <w:color w:val="215A99"/>
          <w:sz w:val="18"/>
          <w:szCs w:val="22"/>
          <w:lang w:val="en-GB"/>
        </w:rPr>
        <w:t>6</w:t>
      </w:r>
      <w:r w:rsidRPr="00542E7D">
        <w:rPr>
          <w:b/>
          <w:i/>
          <w:color w:val="215A99"/>
          <w:sz w:val="18"/>
          <w:szCs w:val="22"/>
          <w:lang w:val="en-GB"/>
        </w:rPr>
        <w:t>% during the past 5 years.  This is</w:t>
      </w:r>
      <w:r w:rsidRPr="00C5612C">
        <w:rPr>
          <w:b/>
          <w:i/>
          <w:color w:val="215A99"/>
          <w:sz w:val="18"/>
          <w:szCs w:val="22"/>
          <w:lang w:val="en-GB"/>
        </w:rPr>
        <w:t xml:space="preserve"> largely a result of growing demand in established markets as well as new demand from emerging markets.  Since 2007, nine new countries began consuming LNG.   At the same time, the differential between oil-linked LNG prices and liquid market gas prices has created new opportunities and challenges for the industry.</w:t>
      </w:r>
    </w:p>
    <w:p w:rsidR="00D94626" w:rsidRDefault="00D94626" w:rsidP="00D94626">
      <w:pPr>
        <w:spacing w:after="120" w:line="252" w:lineRule="auto"/>
        <w:jc w:val="both"/>
        <w:rPr>
          <w:i/>
          <w:color w:val="215A99"/>
          <w:sz w:val="18"/>
          <w:szCs w:val="22"/>
          <w:lang w:val="en-GB"/>
        </w:rPr>
      </w:pPr>
      <w:r w:rsidRPr="009604EB">
        <w:rPr>
          <w:i/>
          <w:color w:val="215A99"/>
          <w:sz w:val="18"/>
          <w:szCs w:val="22"/>
          <w:lang w:val="en-GB"/>
        </w:rPr>
        <w:t xml:space="preserve">The continued shutdown of all but 2 nuclear power facilities in Japan combined with rapid LNG demand growth in emerging markets in Asia and South America and economic slowdown in European economies resulted in LNG cargo diversions away from Europe in 2012. As a result, Europe experienced a reduction in LNG imports which was offset by increased coal consumption for power generation and increased pipeline gas imports from Norway.  </w:t>
      </w:r>
    </w:p>
    <w:p w:rsidR="00D94626" w:rsidRPr="00564DBB" w:rsidRDefault="00D94626" w:rsidP="00D94626">
      <w:pPr>
        <w:spacing w:after="120" w:line="252" w:lineRule="auto"/>
        <w:jc w:val="both"/>
        <w:rPr>
          <w:i/>
          <w:color w:val="215A99"/>
          <w:sz w:val="18"/>
          <w:szCs w:val="22"/>
          <w:lang w:val="en-GB"/>
        </w:rPr>
        <w:sectPr w:rsidR="00D94626" w:rsidRPr="00564DBB" w:rsidSect="00E757B1">
          <w:type w:val="continuous"/>
          <w:pgSz w:w="12240" w:h="15840" w:code="1"/>
          <w:pgMar w:top="1728" w:right="1080" w:bottom="1080" w:left="1008" w:header="720" w:footer="504" w:gutter="0"/>
          <w:cols w:space="432"/>
          <w:titlePg/>
          <w:docGrid w:linePitch="272"/>
        </w:sectPr>
      </w:pPr>
    </w:p>
    <w:p w:rsidR="00D94626" w:rsidRDefault="00D94626" w:rsidP="00C401C6">
      <w:pPr>
        <w:pStyle w:val="Titre2"/>
        <w:ind w:firstLine="180"/>
        <w:rPr>
          <w:lang w:val="en-GB"/>
        </w:rPr>
      </w:pPr>
      <w:bookmarkStart w:id="6" w:name="_Toc360628228"/>
      <w:r w:rsidRPr="00564DBB">
        <w:rPr>
          <w:lang w:val="en-GB"/>
        </w:rPr>
        <w:lastRenderedPageBreak/>
        <w:t>3.1. OVERVIEW</w:t>
      </w:r>
      <w:bookmarkEnd w:id="6"/>
    </w:p>
    <w:p w:rsidR="00D94626" w:rsidRPr="00564DBB" w:rsidRDefault="00D94626" w:rsidP="00D94626">
      <w:pPr>
        <w:spacing w:line="252" w:lineRule="auto"/>
        <w:ind w:left="180"/>
        <w:jc w:val="both"/>
        <w:rPr>
          <w:b/>
          <w:color w:val="215A99"/>
          <w:sz w:val="18"/>
          <w:lang w:val="en-GB"/>
        </w:rPr>
      </w:pPr>
    </w:p>
    <w:tbl>
      <w:tblPr>
        <w:tblpPr w:leftFromText="180" w:rightFromText="180" w:vertAnchor="text" w:horzAnchor="margin" w:tblpY="5905"/>
        <w:tblW w:w="10478" w:type="dxa"/>
        <w:tblLayout w:type="fixed"/>
        <w:tblLook w:val="01E0"/>
      </w:tblPr>
      <w:tblGrid>
        <w:gridCol w:w="10478"/>
      </w:tblGrid>
      <w:tr w:rsidR="00856114" w:rsidRPr="00542E7D" w:rsidTr="0073009F">
        <w:trPr>
          <w:trHeight w:val="2882"/>
        </w:trPr>
        <w:tc>
          <w:tcPr>
            <w:tcW w:w="10478" w:type="dxa"/>
          </w:tcPr>
          <w:p w:rsidR="00856114" w:rsidRPr="00542E7D" w:rsidRDefault="00856114" w:rsidP="0073009F">
            <w:pPr>
              <w:pStyle w:val="PFCBulletedText2"/>
              <w:spacing w:before="120" w:after="0"/>
              <w:ind w:left="0" w:firstLine="0"/>
              <w:jc w:val="left"/>
            </w:pPr>
            <w:r>
              <w:rPr>
                <w:noProof/>
                <w:lang w:val="fr-FR" w:eastAsia="zh-CN"/>
              </w:rPr>
              <w:drawing>
                <wp:inline distT="0" distB="0" distL="0" distR="0">
                  <wp:extent cx="6297295" cy="2130425"/>
                  <wp:effectExtent l="19050" t="0" r="8255"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6297295" cy="2130425"/>
                          </a:xfrm>
                          <a:prstGeom prst="rect">
                            <a:avLst/>
                          </a:prstGeom>
                          <a:noFill/>
                          <a:ln w="9525">
                            <a:noFill/>
                            <a:miter lim="800000"/>
                            <a:headEnd/>
                            <a:tailEnd/>
                          </a:ln>
                        </pic:spPr>
                      </pic:pic>
                    </a:graphicData>
                  </a:graphic>
                </wp:inline>
              </w:drawing>
            </w:r>
          </w:p>
          <w:p w:rsidR="00856114" w:rsidRPr="00542E7D" w:rsidRDefault="00856114" w:rsidP="0073009F">
            <w:pPr>
              <w:pStyle w:val="PFCBulletedText2"/>
              <w:spacing w:before="120" w:after="0"/>
              <w:ind w:left="0" w:firstLine="0"/>
              <w:jc w:val="left"/>
              <w:rPr>
                <w:b/>
                <w:sz w:val="18"/>
                <w:szCs w:val="18"/>
              </w:rPr>
            </w:pPr>
            <w:r w:rsidRPr="00542E7D">
              <w:rPr>
                <w:b/>
                <w:sz w:val="18"/>
                <w:szCs w:val="18"/>
              </w:rPr>
              <w:t xml:space="preserve">Figure </w:t>
            </w:r>
            <w:r>
              <w:rPr>
                <w:b/>
                <w:sz w:val="18"/>
                <w:szCs w:val="18"/>
              </w:rPr>
              <w:t>3.</w:t>
            </w:r>
            <w:r w:rsidRPr="00542E7D">
              <w:rPr>
                <w:b/>
                <w:sz w:val="18"/>
                <w:szCs w:val="18"/>
              </w:rPr>
              <w:t>1: LNG Trade Volumes, 1980-2012</w:t>
            </w:r>
          </w:p>
          <w:p w:rsidR="00856114" w:rsidRPr="00542E7D" w:rsidRDefault="00856114" w:rsidP="0073009F">
            <w:pPr>
              <w:pStyle w:val="PFCBulletedText2"/>
              <w:ind w:left="0" w:firstLine="0"/>
              <w:jc w:val="left"/>
              <w:rPr>
                <w:sz w:val="16"/>
                <w:szCs w:val="16"/>
              </w:rPr>
            </w:pPr>
            <w:r w:rsidRPr="00542E7D">
              <w:rPr>
                <w:i/>
                <w:sz w:val="16"/>
                <w:szCs w:val="16"/>
              </w:rPr>
              <w:t>Source: IEA, PFC Energy</w:t>
            </w:r>
          </w:p>
        </w:tc>
      </w:tr>
    </w:tbl>
    <w:p w:rsidR="00D94626" w:rsidRPr="00542E7D" w:rsidRDefault="00073EEA" w:rsidP="00D94626">
      <w:pPr>
        <w:spacing w:line="252" w:lineRule="auto"/>
        <w:ind w:left="180"/>
        <w:jc w:val="both"/>
        <w:rPr>
          <w:sz w:val="18"/>
          <w:lang w:val="en-GB"/>
        </w:rPr>
      </w:pPr>
      <w:r w:rsidRPr="00073EEA">
        <w:rPr>
          <w:noProof/>
          <w:sz w:val="18"/>
          <w:lang w:eastAsia="en-US"/>
        </w:rPr>
        <w:pict>
          <v:shape id="_x0000_s1190" type="#_x0000_t202" style="position:absolute;left:0;text-align:left;margin-left:9.25pt;margin-top:1.1pt;width:111.35pt;height:40.75pt;z-index:251723776;mso-wrap-edited:f;mso-wrap-distance-left:14.4pt;mso-wrap-distance-right:14.4pt;mso-position-horizontal-relative:text;mso-position-vertical-relative:text;mso-width-relative:margin;mso-height-relative:margin" wrapcoords="0 0 21600 0 21600 21600 0 21600 0 0" filled="f" stroked="f" strokecolor="silver">
            <v:fill o:detectmouseclick="t"/>
            <v:textbox style="mso-next-textbox:#_x0000_s1190" inset="0,0,0,0">
              <w:txbxContent>
                <w:p w:rsidR="00856114" w:rsidRPr="003A5BDA" w:rsidRDefault="00856114" w:rsidP="00856114">
                  <w:pPr>
                    <w:rPr>
                      <w:b/>
                      <w:color w:val="1B82CE" w:themeColor="accent3"/>
                      <w:sz w:val="24"/>
                    </w:rPr>
                  </w:pPr>
                  <w:proofErr w:type="gramStart"/>
                  <w:r>
                    <w:rPr>
                      <w:b/>
                      <w:color w:val="1B82CE" w:themeColor="accent3"/>
                      <w:sz w:val="24"/>
                    </w:rPr>
                    <w:t>237.7  MT</w:t>
                  </w:r>
                  <w:proofErr w:type="gramEnd"/>
                </w:p>
                <w:p w:rsidR="00856114" w:rsidRPr="003A5BDA" w:rsidRDefault="00856114" w:rsidP="00856114">
                  <w:pPr>
                    <w:rPr>
                      <w:i/>
                      <w:color w:val="1B82CE" w:themeColor="accent3"/>
                      <w:sz w:val="18"/>
                    </w:rPr>
                  </w:pPr>
                  <w:r w:rsidRPr="00856114">
                    <w:rPr>
                      <w:i/>
                      <w:color w:val="1B82CE" w:themeColor="accent3"/>
                      <w:sz w:val="18"/>
                    </w:rPr>
                    <w:t>Global trade in 2012, first annual decline in 30 years</w:t>
                  </w:r>
                </w:p>
              </w:txbxContent>
            </v:textbox>
            <w10:wrap type="tight"/>
          </v:shape>
        </w:pict>
      </w:r>
      <w:r w:rsidR="00D94626" w:rsidRPr="00542E7D">
        <w:rPr>
          <w:sz w:val="18"/>
          <w:lang w:val="en-GB"/>
        </w:rPr>
        <w:t>Global LNG flows fell by 1.</w:t>
      </w:r>
      <w:r w:rsidR="00C72C82">
        <w:rPr>
          <w:sz w:val="18"/>
          <w:lang w:val="en-GB"/>
        </w:rPr>
        <w:t>6</w:t>
      </w:r>
      <w:r w:rsidR="00D94626" w:rsidRPr="00542E7D">
        <w:rPr>
          <w:sz w:val="18"/>
          <w:lang w:val="en-GB"/>
        </w:rPr>
        <w:t xml:space="preserve">% from 241.5 MT in 2011 to </w:t>
      </w:r>
      <w:r w:rsidR="001A4D75">
        <w:rPr>
          <w:sz w:val="18"/>
          <w:lang w:val="en-GB"/>
        </w:rPr>
        <w:t>237.7</w:t>
      </w:r>
      <w:r w:rsidR="00D94626" w:rsidRPr="00542E7D">
        <w:rPr>
          <w:sz w:val="18"/>
          <w:lang w:val="en-GB"/>
        </w:rPr>
        <w:t xml:space="preserve"> MT in 2012.  The contraction was largely driven by supply-side issues in Southeast Asia (Indonesia and Malaysia) and domestic and political challenges in MENA (Egypt, Libya and Yemen).  Qatar and Nigeria were able to ramp up production to offset somewhat for these losses.  On the demand side, the growth in Japanese demand (+8.</w:t>
      </w:r>
      <w:r w:rsidR="001A4D75">
        <w:rPr>
          <w:sz w:val="18"/>
          <w:lang w:val="en-GB"/>
        </w:rPr>
        <w:t>5</w:t>
      </w:r>
      <w:r w:rsidR="00D94626" w:rsidRPr="00542E7D">
        <w:rPr>
          <w:sz w:val="18"/>
          <w:lang w:val="en-GB"/>
        </w:rPr>
        <w:t xml:space="preserve"> MT relative to 2011)  was largely offset by cargoes diverted away from the UK (-8.</w:t>
      </w:r>
      <w:r w:rsidR="001A4D75">
        <w:rPr>
          <w:sz w:val="18"/>
          <w:lang w:val="en-GB"/>
        </w:rPr>
        <w:t>2</w:t>
      </w:r>
      <w:r w:rsidR="00D94626" w:rsidRPr="00542E7D">
        <w:rPr>
          <w:sz w:val="18"/>
          <w:lang w:val="en-GB"/>
        </w:rPr>
        <w:t xml:space="preserve"> MT).  Elsewhere in Europe, LNG consumption fell since pipelin</w:t>
      </w:r>
      <w:r w:rsidR="00C042DC">
        <w:rPr>
          <w:sz w:val="18"/>
          <w:lang w:val="en-GB"/>
        </w:rPr>
        <w:t>e gas was more affordable and North American coal imports</w:t>
      </w:r>
      <w:r w:rsidR="00D94626" w:rsidRPr="00542E7D">
        <w:rPr>
          <w:sz w:val="18"/>
          <w:lang w:val="en-GB"/>
        </w:rPr>
        <w:t xml:space="preserve"> helped meet power needs. </w:t>
      </w:r>
    </w:p>
    <w:p w:rsidR="00D94626" w:rsidRPr="00542E7D" w:rsidRDefault="00D94626" w:rsidP="00D94626">
      <w:pPr>
        <w:spacing w:line="252" w:lineRule="auto"/>
        <w:ind w:left="180"/>
        <w:jc w:val="both"/>
        <w:rPr>
          <w:sz w:val="18"/>
          <w:lang w:val="en-GB"/>
        </w:rPr>
      </w:pPr>
    </w:p>
    <w:p w:rsidR="00D94626" w:rsidRDefault="00D94626" w:rsidP="00D94626">
      <w:pPr>
        <w:spacing w:line="252" w:lineRule="auto"/>
        <w:ind w:left="180"/>
        <w:jc w:val="both"/>
        <w:rPr>
          <w:sz w:val="18"/>
          <w:lang w:val="en-GB"/>
        </w:rPr>
      </w:pPr>
      <w:r w:rsidRPr="00542E7D">
        <w:rPr>
          <w:sz w:val="18"/>
          <w:lang w:val="en-GB"/>
        </w:rPr>
        <w:t xml:space="preserve">No new exporters joined the LNG trade in 2012, though France and Portugal joined the group of re-exporters.  Only 3.73 MTPA of </w:t>
      </w:r>
      <w:r w:rsidR="00C72C82">
        <w:rPr>
          <w:sz w:val="18"/>
          <w:lang w:val="en-GB"/>
        </w:rPr>
        <w:t xml:space="preserve">effective </w:t>
      </w:r>
      <w:r w:rsidRPr="00542E7D">
        <w:rPr>
          <w:sz w:val="18"/>
          <w:lang w:val="en-GB"/>
        </w:rPr>
        <w:t xml:space="preserve">capacity was added </w:t>
      </w:r>
      <w:r w:rsidR="00C72C82">
        <w:rPr>
          <w:sz w:val="18"/>
          <w:lang w:val="en-GB"/>
        </w:rPr>
        <w:t xml:space="preserve">in 2012 </w:t>
      </w:r>
      <w:r w:rsidRPr="00542E7D">
        <w:rPr>
          <w:sz w:val="18"/>
          <w:lang w:val="en-GB"/>
        </w:rPr>
        <w:t xml:space="preserve">since the 4.3 MTPA Pluto LNG project in Australia came online in April. The </w:t>
      </w:r>
      <w:proofErr w:type="spellStart"/>
      <w:r w:rsidRPr="00542E7D">
        <w:rPr>
          <w:sz w:val="18"/>
          <w:lang w:val="en-GB"/>
        </w:rPr>
        <w:t>Marsa</w:t>
      </w:r>
      <w:proofErr w:type="spellEnd"/>
      <w:r w:rsidRPr="00542E7D">
        <w:rPr>
          <w:sz w:val="18"/>
          <w:lang w:val="en-GB"/>
        </w:rPr>
        <w:t xml:space="preserve"> el Braga facility in Libya failed to deliver a single cargo after the civil war in 2011, and is assumed de-commissioned.  Angola is expected to join the club of LNG exporters in 2013. New capacity is also expected online in Algeria, but this will offset older capacity that will be de-commissioned.  </w:t>
      </w:r>
    </w:p>
    <w:p w:rsidR="00D94626" w:rsidRPr="00542E7D" w:rsidRDefault="00D94626" w:rsidP="00D94626">
      <w:pPr>
        <w:spacing w:line="252" w:lineRule="auto"/>
        <w:ind w:left="180"/>
        <w:jc w:val="both"/>
        <w:rPr>
          <w:sz w:val="18"/>
          <w:lang w:val="en-GB"/>
        </w:rPr>
      </w:pPr>
      <w:r w:rsidRPr="00542E7D">
        <w:rPr>
          <w:sz w:val="18"/>
          <w:lang w:val="en-GB"/>
        </w:rPr>
        <w:t xml:space="preserve">The number and geographic reach of countries that have started importing LNG over the past four years has grown </w:t>
      </w:r>
      <w:r w:rsidRPr="00542E7D">
        <w:rPr>
          <w:sz w:val="18"/>
          <w:lang w:val="en-GB"/>
        </w:rPr>
        <w:lastRenderedPageBreak/>
        <w:t>tremendously. From end 2008 to 2012, Brazil, Canada, Chile, Kuwait, Indonesia, the Netherlands, Thailand, and the United Arab Emirates have begun importing LNG joining the existing 18 importers.  Thus far in 2013, Israel and Singapore began receiving commercial cargoes and Malaysia has received a commissioning cargo. Many of these countries were not considered to be potential LNG importers a decade ago – and the United States, which was then expected to be the largest LNG import market by now, has seen imports slow to a trickle.  These changes reflect the flexibility of the LNG value chain</w:t>
      </w:r>
      <w:proofErr w:type="gramStart"/>
      <w:r w:rsidR="00A932B7">
        <w:rPr>
          <w:sz w:val="18"/>
          <w:lang w:val="en-GB"/>
        </w:rPr>
        <w:t>.</w:t>
      </w:r>
      <w:r w:rsidRPr="00542E7D">
        <w:rPr>
          <w:sz w:val="18"/>
          <w:lang w:val="en-GB"/>
        </w:rPr>
        <w:t>.</w:t>
      </w:r>
      <w:proofErr w:type="gramEnd"/>
      <w:r w:rsidRPr="00542E7D">
        <w:rPr>
          <w:sz w:val="18"/>
          <w:lang w:val="en-GB"/>
        </w:rPr>
        <w:t xml:space="preserve">  </w:t>
      </w:r>
    </w:p>
    <w:p w:rsidR="00D94626" w:rsidRPr="00542E7D" w:rsidRDefault="00D94626" w:rsidP="00D94626">
      <w:pPr>
        <w:spacing w:line="252" w:lineRule="auto"/>
        <w:ind w:left="180"/>
        <w:jc w:val="both"/>
        <w:rPr>
          <w:sz w:val="18"/>
          <w:lang w:val="en-GB"/>
        </w:rPr>
      </w:pPr>
    </w:p>
    <w:p w:rsidR="00D94626" w:rsidRDefault="00D94626" w:rsidP="00D94626">
      <w:pPr>
        <w:spacing w:line="252" w:lineRule="auto"/>
        <w:ind w:left="180"/>
        <w:jc w:val="both"/>
        <w:rPr>
          <w:sz w:val="18"/>
          <w:lang w:val="en-GB"/>
        </w:rPr>
      </w:pPr>
      <w:r w:rsidRPr="00542E7D">
        <w:rPr>
          <w:sz w:val="18"/>
          <w:lang w:val="en-GB"/>
        </w:rPr>
        <w:t xml:space="preserve">Changes in regional demand patterns and the emergence of so many new importers created a large swing in import patterns in 2012 relative to 2011.  Seven countries (UK,  France, Spain, US, Belgium, Italy, and Canada) saw imports fall by 1.0 MT or more, whereas six countries saw imports increase by 1.0 MT or more (Japan, Brazil, China, India, Turkey, and South Korea). </w:t>
      </w:r>
    </w:p>
    <w:p w:rsidR="00A932B7" w:rsidRPr="00542E7D" w:rsidRDefault="00A932B7" w:rsidP="00D94626">
      <w:pPr>
        <w:spacing w:line="252" w:lineRule="auto"/>
        <w:ind w:left="180"/>
        <w:jc w:val="both"/>
        <w:rPr>
          <w:sz w:val="18"/>
          <w:lang w:val="en-GB"/>
        </w:rPr>
      </w:pPr>
    </w:p>
    <w:p w:rsidR="00C042DC" w:rsidRDefault="00D94626" w:rsidP="00D94626">
      <w:pPr>
        <w:spacing w:line="252" w:lineRule="auto"/>
        <w:ind w:left="180"/>
        <w:jc w:val="both"/>
        <w:rPr>
          <w:sz w:val="18"/>
          <w:lang w:val="en-GB"/>
        </w:rPr>
      </w:pPr>
      <w:r w:rsidRPr="00542E7D">
        <w:rPr>
          <w:sz w:val="18"/>
          <w:lang w:val="en-GB"/>
        </w:rPr>
        <w:t xml:space="preserve">In spite of increased interregional trade, there is still no “global” LNG market with a single price structure.  Rather, there are strong regional LNG supply and demand dynamics.  But the increasing prevalence of divertible LNG contracts and the emergence of portfolio traders together facilitate greater inter-basin trade. </w:t>
      </w:r>
    </w:p>
    <w:p w:rsidR="00C042DC" w:rsidRDefault="00C042DC" w:rsidP="00D94626">
      <w:pPr>
        <w:spacing w:line="252" w:lineRule="auto"/>
        <w:ind w:left="180"/>
        <w:jc w:val="both"/>
        <w:rPr>
          <w:sz w:val="18"/>
          <w:lang w:val="en-GB"/>
        </w:rPr>
      </w:pPr>
    </w:p>
    <w:p w:rsidR="00D94626" w:rsidRPr="00542E7D" w:rsidRDefault="00D94626" w:rsidP="00D94626">
      <w:pPr>
        <w:spacing w:line="252" w:lineRule="auto"/>
        <w:ind w:left="180"/>
        <w:jc w:val="both"/>
        <w:rPr>
          <w:sz w:val="18"/>
          <w:lang w:val="en-GB"/>
        </w:rPr>
      </w:pPr>
      <w:r w:rsidRPr="00542E7D">
        <w:rPr>
          <w:sz w:val="18"/>
          <w:lang w:val="en-GB"/>
        </w:rPr>
        <w:t xml:space="preserve">In some countries – such as Japan and South Korea – LNG is used to meet the entire gas needs. However, many </w:t>
      </w:r>
      <w:r w:rsidRPr="00542E7D">
        <w:rPr>
          <w:sz w:val="18"/>
          <w:lang w:val="en-GB"/>
        </w:rPr>
        <w:lastRenderedPageBreak/>
        <w:t xml:space="preserve">countries use LNG to fill the gap between domestic energy supply and demand imbalances.  </w:t>
      </w:r>
    </w:p>
    <w:p w:rsidR="00D94626" w:rsidRPr="009C3813" w:rsidRDefault="00D94626" w:rsidP="00C401C6">
      <w:pPr>
        <w:pStyle w:val="Titre2"/>
        <w:ind w:firstLine="180"/>
        <w:rPr>
          <w:lang w:val="en-GB"/>
        </w:rPr>
      </w:pPr>
      <w:bookmarkStart w:id="7" w:name="_Toc322870642"/>
      <w:bookmarkStart w:id="8" w:name="_Toc360628229"/>
      <w:r w:rsidRPr="009C3813">
        <w:rPr>
          <w:lang w:val="en-GB"/>
        </w:rPr>
        <w:t>3.</w:t>
      </w:r>
      <w:r w:rsidR="00C401C6">
        <w:rPr>
          <w:lang w:val="en-GB"/>
        </w:rPr>
        <w:t>2</w:t>
      </w:r>
      <w:r w:rsidRPr="009C3813">
        <w:rPr>
          <w:lang w:val="en-GB"/>
        </w:rPr>
        <w:t xml:space="preserve">. </w:t>
      </w:r>
      <w:bookmarkEnd w:id="7"/>
      <w:r w:rsidRPr="009C3813">
        <w:rPr>
          <w:lang w:val="en-GB"/>
        </w:rPr>
        <w:t xml:space="preserve">LNG </w:t>
      </w:r>
      <w:r>
        <w:rPr>
          <w:lang w:val="en-GB"/>
        </w:rPr>
        <w:t>EXPORTS</w:t>
      </w:r>
      <w:r w:rsidRPr="009C3813">
        <w:rPr>
          <w:lang w:val="en-GB"/>
        </w:rPr>
        <w:t xml:space="preserve"> BY COUNTRY</w:t>
      </w:r>
      <w:bookmarkEnd w:id="8"/>
    </w:p>
    <w:p w:rsidR="00D94626" w:rsidRPr="009C3813" w:rsidRDefault="00D94626" w:rsidP="00D94626">
      <w:pPr>
        <w:spacing w:line="252" w:lineRule="auto"/>
        <w:ind w:left="180"/>
        <w:jc w:val="both"/>
        <w:rPr>
          <w:b/>
          <w:color w:val="215A99"/>
          <w:sz w:val="18"/>
          <w:lang w:val="en-GB"/>
        </w:rPr>
      </w:pPr>
    </w:p>
    <w:p w:rsidR="00D94626" w:rsidRDefault="00D94626" w:rsidP="00D94626">
      <w:pPr>
        <w:spacing w:line="252" w:lineRule="auto"/>
        <w:ind w:left="180"/>
        <w:jc w:val="both"/>
        <w:rPr>
          <w:sz w:val="18"/>
          <w:lang w:val="en-GB"/>
        </w:rPr>
      </w:pPr>
      <w:r w:rsidRPr="002A7505">
        <w:rPr>
          <w:sz w:val="18"/>
          <w:lang w:val="en-GB"/>
        </w:rPr>
        <w:t>By the end of 2012, 17 countries were exporting LNG, one less than 2011.  Libya ceased to export LNG in 2012 after the country’s civil war.  In addition, six countries – Belgium, Brazil, France, Portugal, Spain and the United States – re-exported LNG in 2012. (Mexico had previously re-exported volumes in 2011.)</w:t>
      </w:r>
      <w:r w:rsidRPr="00564DBB">
        <w:rPr>
          <w:sz w:val="18"/>
          <w:lang w:val="en-GB"/>
        </w:rPr>
        <w:t xml:space="preserve"> </w:t>
      </w:r>
    </w:p>
    <w:p w:rsidR="00D94626" w:rsidRDefault="00D94626" w:rsidP="00D94626">
      <w:pPr>
        <w:spacing w:line="252" w:lineRule="auto"/>
        <w:ind w:left="180"/>
        <w:jc w:val="both"/>
        <w:rPr>
          <w:sz w:val="18"/>
          <w:lang w:val="en-GB"/>
        </w:rPr>
      </w:pPr>
    </w:p>
    <w:tbl>
      <w:tblPr>
        <w:tblpPr w:leftFromText="180" w:rightFromText="180" w:vertAnchor="text" w:horzAnchor="margin" w:tblpY="3283"/>
        <w:tblW w:w="4975" w:type="dxa"/>
        <w:tblLayout w:type="fixed"/>
        <w:tblLook w:val="01E0"/>
      </w:tblPr>
      <w:tblGrid>
        <w:gridCol w:w="4975"/>
      </w:tblGrid>
      <w:tr w:rsidR="00D94626" w:rsidRPr="00A918C1" w:rsidTr="00E757B1">
        <w:trPr>
          <w:trHeight w:val="2938"/>
        </w:trPr>
        <w:tc>
          <w:tcPr>
            <w:tcW w:w="4975" w:type="dxa"/>
          </w:tcPr>
          <w:p w:rsidR="00D94626" w:rsidRDefault="00663E86" w:rsidP="00E757B1">
            <w:pPr>
              <w:pStyle w:val="PFCBulletedText2"/>
              <w:spacing w:before="120" w:after="0"/>
              <w:ind w:left="0" w:firstLine="0"/>
              <w:jc w:val="left"/>
              <w:rPr>
                <w:noProof/>
                <w:lang w:eastAsia="en-US"/>
              </w:rPr>
            </w:pPr>
            <w:r>
              <w:rPr>
                <w:noProof/>
                <w:lang w:val="fr-FR" w:eastAsia="zh-CN"/>
              </w:rPr>
              <w:drawing>
                <wp:inline distT="0" distB="0" distL="0" distR="0">
                  <wp:extent cx="3016250" cy="1992630"/>
                  <wp:effectExtent l="1905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3016250" cy="1992630"/>
                          </a:xfrm>
                          <a:prstGeom prst="rect">
                            <a:avLst/>
                          </a:prstGeom>
                          <a:noFill/>
                          <a:ln w="9525">
                            <a:noFill/>
                            <a:miter lim="800000"/>
                            <a:headEnd/>
                            <a:tailEnd/>
                          </a:ln>
                        </pic:spPr>
                      </pic:pic>
                    </a:graphicData>
                  </a:graphic>
                </wp:inline>
              </w:drawing>
            </w:r>
          </w:p>
          <w:p w:rsidR="00D94626" w:rsidRDefault="00D94626" w:rsidP="00E757B1">
            <w:pPr>
              <w:pStyle w:val="PFCBulletedText2"/>
              <w:ind w:left="0" w:firstLine="0"/>
              <w:jc w:val="left"/>
              <w:rPr>
                <w:b/>
                <w:sz w:val="18"/>
                <w:szCs w:val="18"/>
              </w:rPr>
            </w:pPr>
            <w:r w:rsidRPr="0026740D">
              <w:rPr>
                <w:b/>
                <w:sz w:val="18"/>
                <w:szCs w:val="18"/>
              </w:rPr>
              <w:t xml:space="preserve">Figure </w:t>
            </w:r>
            <w:r w:rsidR="00F05256">
              <w:rPr>
                <w:b/>
                <w:sz w:val="18"/>
                <w:szCs w:val="18"/>
              </w:rPr>
              <w:t>3.</w:t>
            </w:r>
            <w:r w:rsidRPr="0026740D">
              <w:rPr>
                <w:b/>
                <w:sz w:val="18"/>
                <w:szCs w:val="18"/>
              </w:rPr>
              <w:t>2: LNG Exports by Country</w:t>
            </w:r>
            <w:r>
              <w:rPr>
                <w:b/>
                <w:sz w:val="18"/>
                <w:szCs w:val="18"/>
              </w:rPr>
              <w:t>:</w:t>
            </w:r>
            <w:r w:rsidRPr="0026740D">
              <w:rPr>
                <w:b/>
                <w:sz w:val="18"/>
                <w:szCs w:val="18"/>
              </w:rPr>
              <w:t xml:space="preserve"> 2012</w:t>
            </w:r>
            <w:r>
              <w:rPr>
                <w:b/>
                <w:sz w:val="18"/>
                <w:szCs w:val="18"/>
              </w:rPr>
              <w:t xml:space="preserve"> Exports &amp; Incremental Change Relative to 2011 (in MTPA)</w:t>
            </w:r>
          </w:p>
          <w:p w:rsidR="00D94626" w:rsidRPr="00494081" w:rsidRDefault="00D94626" w:rsidP="00E757B1">
            <w:pPr>
              <w:pStyle w:val="PFCBulletedText2"/>
              <w:ind w:left="0" w:firstLine="0"/>
              <w:jc w:val="left"/>
              <w:rPr>
                <w:sz w:val="16"/>
                <w:szCs w:val="16"/>
              </w:rPr>
            </w:pPr>
            <w:r w:rsidRPr="0026740D">
              <w:rPr>
                <w:i/>
                <w:sz w:val="16"/>
                <w:szCs w:val="16"/>
              </w:rPr>
              <w:t>Sources: Waterborne LNG Reports, US DOE, PFC Energy Global LNG Service</w:t>
            </w:r>
          </w:p>
        </w:tc>
      </w:tr>
    </w:tbl>
    <w:p w:rsidR="00D94626" w:rsidRPr="00564DBB" w:rsidRDefault="00D94626" w:rsidP="00D94626">
      <w:pPr>
        <w:spacing w:line="252" w:lineRule="auto"/>
        <w:ind w:left="180"/>
        <w:jc w:val="both"/>
        <w:rPr>
          <w:sz w:val="18"/>
          <w:lang w:val="en-GB"/>
        </w:rPr>
      </w:pPr>
      <w:r w:rsidRPr="00542E7D">
        <w:rPr>
          <w:sz w:val="18"/>
          <w:lang w:val="en-GB"/>
        </w:rPr>
        <w:t>Qatar is by far the largest LNG exporter.  In 2012, the country supplied 77.4 MT of LNG to the market – nearly one third (32.</w:t>
      </w:r>
      <w:r w:rsidR="001A4D75">
        <w:rPr>
          <w:sz w:val="18"/>
          <w:lang w:val="en-GB"/>
        </w:rPr>
        <w:t>6</w:t>
      </w:r>
      <w:r w:rsidRPr="00542E7D">
        <w:rPr>
          <w:sz w:val="18"/>
          <w:lang w:val="en-GB"/>
        </w:rPr>
        <w:t>%) of global supply.  Qatar (+1.9 MT), Australia (+1.6 MT) and Nigeria (+1.2 MT) contributed 75.6% of the project specific increases in supply during 2012. Although Australia’s increase can</w:t>
      </w:r>
      <w:r w:rsidRPr="000E29FE">
        <w:rPr>
          <w:sz w:val="18"/>
          <w:lang w:val="en-GB"/>
        </w:rPr>
        <w:t xml:space="preserve"> be predominantly explained by the addition of a new project (Pluto LNG), Nigeria and Qatar ramped up production to plateau and </w:t>
      </w:r>
      <w:r w:rsidR="00E96746">
        <w:rPr>
          <w:sz w:val="18"/>
          <w:lang w:val="en-GB"/>
        </w:rPr>
        <w:t>were</w:t>
      </w:r>
      <w:r w:rsidRPr="000E29FE">
        <w:rPr>
          <w:sz w:val="18"/>
          <w:lang w:val="en-GB"/>
        </w:rPr>
        <w:t xml:space="preserve"> able </w:t>
      </w:r>
      <w:r w:rsidR="00E96746">
        <w:rPr>
          <w:sz w:val="18"/>
          <w:lang w:val="en-GB"/>
        </w:rPr>
        <w:t xml:space="preserve">to </w:t>
      </w:r>
      <w:r w:rsidRPr="000E29FE">
        <w:rPr>
          <w:sz w:val="18"/>
          <w:lang w:val="en-GB"/>
        </w:rPr>
        <w:t xml:space="preserve">satisfy strong Asia-Pacific demand during </w:t>
      </w:r>
      <w:r>
        <w:rPr>
          <w:sz w:val="18"/>
          <w:lang w:val="en-GB"/>
        </w:rPr>
        <w:t>the first half of</w:t>
      </w:r>
      <w:r w:rsidRPr="000E29FE">
        <w:rPr>
          <w:sz w:val="18"/>
          <w:lang w:val="en-GB"/>
        </w:rPr>
        <w:t xml:space="preserve"> 2012.   Indonesia saw the largest dip in supply due to feedstock issues at the Mahakam Block.  Malaysia also was down but this was attributed to a fire at one of its liquefaction facilities in July 2012.  Various MENA countries experienced political unrest and/or greater diversions to the domestic market.  </w:t>
      </w:r>
    </w:p>
    <w:p w:rsidR="00D94626" w:rsidRDefault="00D94626" w:rsidP="00D94626">
      <w:pPr>
        <w:spacing w:line="252" w:lineRule="auto"/>
        <w:ind w:left="180"/>
        <w:jc w:val="both"/>
        <w:rPr>
          <w:sz w:val="18"/>
          <w:lang w:val="en-GB"/>
        </w:rPr>
      </w:pPr>
      <w:r w:rsidRPr="00564DBB">
        <w:rPr>
          <w:sz w:val="18"/>
          <w:lang w:val="en-GB"/>
        </w:rPr>
        <w:t>Beyond the dramatic rise in LNG exports from Qatar in the last decade,</w:t>
      </w:r>
      <w:r>
        <w:rPr>
          <w:sz w:val="18"/>
          <w:lang w:val="en-GB"/>
        </w:rPr>
        <w:t xml:space="preserve"> several new exporters have joined the market increasing the supply diversity. </w:t>
      </w:r>
      <w:r w:rsidR="001A4D75">
        <w:rPr>
          <w:sz w:val="18"/>
          <w:lang w:val="en-GB"/>
        </w:rPr>
        <w:t>Moreover</w:t>
      </w:r>
      <w:r>
        <w:rPr>
          <w:sz w:val="18"/>
          <w:lang w:val="en-GB"/>
        </w:rPr>
        <w:t>, legacy suppliers have increased capacity by developing new projects</w:t>
      </w:r>
      <w:r w:rsidRPr="005733C3">
        <w:rPr>
          <w:color w:val="141313" w:themeColor="text1"/>
          <w:sz w:val="18"/>
          <w:lang w:val="en-GB"/>
        </w:rPr>
        <w:t xml:space="preserve">.  </w:t>
      </w:r>
      <w:r w:rsidR="00A932B7" w:rsidRPr="00564DBB">
        <w:rPr>
          <w:sz w:val="18"/>
          <w:lang w:val="en-GB"/>
        </w:rPr>
        <w:t>Regionally</w:t>
      </w:r>
      <w:r w:rsidR="00A932B7" w:rsidRPr="00980EB5">
        <w:rPr>
          <w:sz w:val="18"/>
          <w:lang w:val="en-GB"/>
        </w:rPr>
        <w:t>, the Middle East outpaced Asia-Pacific in total export volumes in 2006 and has since continued to supply more volumes to the market</w:t>
      </w:r>
      <w:r w:rsidR="00A932B7">
        <w:rPr>
          <w:sz w:val="18"/>
          <w:lang w:val="en-GB"/>
        </w:rPr>
        <w:t xml:space="preserve"> and gain market share.  </w:t>
      </w:r>
    </w:p>
    <w:tbl>
      <w:tblPr>
        <w:tblpPr w:leftFromText="180" w:rightFromText="180" w:vertAnchor="text" w:horzAnchor="margin" w:tblpXSpec="right" w:tblpY="565"/>
        <w:tblW w:w="4975" w:type="dxa"/>
        <w:tblLayout w:type="fixed"/>
        <w:tblLook w:val="01E0"/>
      </w:tblPr>
      <w:tblGrid>
        <w:gridCol w:w="4975"/>
      </w:tblGrid>
      <w:tr w:rsidR="00A932B7" w:rsidRPr="00A918C1" w:rsidTr="0073009F">
        <w:trPr>
          <w:trHeight w:val="2938"/>
        </w:trPr>
        <w:tc>
          <w:tcPr>
            <w:tcW w:w="4975" w:type="dxa"/>
          </w:tcPr>
          <w:p w:rsidR="00A932B7" w:rsidRPr="00E52936" w:rsidRDefault="00A932B7" w:rsidP="0073009F">
            <w:pPr>
              <w:pStyle w:val="PFCBulletedText2"/>
              <w:spacing w:before="120" w:after="0"/>
              <w:ind w:left="0" w:firstLine="0"/>
              <w:jc w:val="left"/>
              <w:rPr>
                <w:noProof/>
                <w:highlight w:val="magenta"/>
                <w:lang w:eastAsia="en-US"/>
              </w:rPr>
            </w:pPr>
            <w:r>
              <w:rPr>
                <w:noProof/>
                <w:lang w:val="fr-FR" w:eastAsia="zh-CN"/>
              </w:rPr>
              <w:drawing>
                <wp:inline distT="0" distB="0" distL="0" distR="0">
                  <wp:extent cx="3019425" cy="2573020"/>
                  <wp:effectExtent l="19050" t="0" r="9525"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3019425" cy="2573020"/>
                          </a:xfrm>
                          <a:prstGeom prst="rect">
                            <a:avLst/>
                          </a:prstGeom>
                          <a:noFill/>
                          <a:ln w="9525">
                            <a:noFill/>
                            <a:miter lim="800000"/>
                            <a:headEnd/>
                            <a:tailEnd/>
                          </a:ln>
                        </pic:spPr>
                      </pic:pic>
                    </a:graphicData>
                  </a:graphic>
                </wp:inline>
              </w:drawing>
            </w:r>
          </w:p>
          <w:p w:rsidR="00A932B7" w:rsidRDefault="00A932B7" w:rsidP="0073009F">
            <w:pPr>
              <w:pStyle w:val="PFCBulletedText2"/>
              <w:ind w:left="0" w:firstLine="0"/>
              <w:jc w:val="left"/>
              <w:rPr>
                <w:b/>
                <w:sz w:val="18"/>
                <w:szCs w:val="18"/>
              </w:rPr>
            </w:pPr>
            <w:r w:rsidRPr="0062277C">
              <w:rPr>
                <w:b/>
                <w:sz w:val="18"/>
                <w:szCs w:val="18"/>
              </w:rPr>
              <w:t xml:space="preserve">Figure </w:t>
            </w:r>
            <w:r>
              <w:rPr>
                <w:b/>
                <w:sz w:val="18"/>
                <w:szCs w:val="18"/>
              </w:rPr>
              <w:t>3.</w:t>
            </w:r>
            <w:r w:rsidRPr="0062277C">
              <w:rPr>
                <w:b/>
                <w:sz w:val="18"/>
                <w:szCs w:val="18"/>
              </w:rPr>
              <w:t>3:  Share of Global LNG Exports by Country, 1991-2012</w:t>
            </w:r>
          </w:p>
          <w:p w:rsidR="00A932B7" w:rsidRPr="00494081" w:rsidRDefault="00A932B7" w:rsidP="0073009F">
            <w:pPr>
              <w:pStyle w:val="PFCBulletedText2"/>
              <w:ind w:left="0" w:firstLine="0"/>
              <w:jc w:val="left"/>
              <w:rPr>
                <w:sz w:val="16"/>
                <w:szCs w:val="16"/>
              </w:rPr>
            </w:pPr>
            <w:r w:rsidRPr="00D415DB">
              <w:rPr>
                <w:i/>
                <w:sz w:val="16"/>
                <w:szCs w:val="16"/>
              </w:rPr>
              <w:t xml:space="preserve">Sources: </w:t>
            </w:r>
            <w:proofErr w:type="spellStart"/>
            <w:r w:rsidRPr="00D415DB">
              <w:rPr>
                <w:i/>
                <w:sz w:val="16"/>
                <w:szCs w:val="16"/>
              </w:rPr>
              <w:t>Cedigaz</w:t>
            </w:r>
            <w:proofErr w:type="spellEnd"/>
            <w:r w:rsidRPr="00D415DB">
              <w:rPr>
                <w:i/>
                <w:sz w:val="16"/>
                <w:szCs w:val="16"/>
              </w:rPr>
              <w:t xml:space="preserve">, </w:t>
            </w:r>
            <w:r>
              <w:rPr>
                <w:i/>
                <w:sz w:val="16"/>
                <w:szCs w:val="16"/>
              </w:rPr>
              <w:t xml:space="preserve">GIIGNL, </w:t>
            </w:r>
            <w:r w:rsidRPr="00D415DB">
              <w:rPr>
                <w:i/>
                <w:sz w:val="16"/>
                <w:szCs w:val="16"/>
              </w:rPr>
              <w:t>Waterborne LNG Reports, US DOE, PFC Energy Global LNG Service</w:t>
            </w:r>
          </w:p>
        </w:tc>
      </w:tr>
    </w:tbl>
    <w:p w:rsidR="00D94626" w:rsidRDefault="00D94626" w:rsidP="00A932B7">
      <w:pPr>
        <w:spacing w:line="252" w:lineRule="auto"/>
        <w:jc w:val="both"/>
        <w:rPr>
          <w:sz w:val="18"/>
          <w:lang w:val="en-GB"/>
        </w:rPr>
      </w:pPr>
    </w:p>
    <w:p w:rsidR="00856114" w:rsidRDefault="0073009F" w:rsidP="00D94626">
      <w:pPr>
        <w:spacing w:line="252" w:lineRule="auto"/>
        <w:ind w:left="180"/>
        <w:jc w:val="both"/>
        <w:rPr>
          <w:sz w:val="18"/>
          <w:lang w:val="en-GB"/>
        </w:rPr>
      </w:pPr>
      <w:r w:rsidRPr="00564DBB">
        <w:rPr>
          <w:sz w:val="18"/>
          <w:lang w:val="en-GB"/>
        </w:rPr>
        <w:t xml:space="preserve">In 2012, the Middle East produced 112.7 </w:t>
      </w:r>
      <w:r>
        <w:rPr>
          <w:sz w:val="18"/>
          <w:lang w:val="en-GB"/>
        </w:rPr>
        <w:t>MT</w:t>
      </w:r>
      <w:r w:rsidRPr="00564DBB">
        <w:rPr>
          <w:sz w:val="18"/>
          <w:lang w:val="en-GB"/>
        </w:rPr>
        <w:t xml:space="preserve"> and Asia-Pacific 80.8 </w:t>
      </w:r>
      <w:r>
        <w:rPr>
          <w:sz w:val="18"/>
          <w:lang w:val="en-GB"/>
        </w:rPr>
        <w:t>MTPA</w:t>
      </w:r>
      <w:r w:rsidRPr="00564DBB">
        <w:rPr>
          <w:sz w:val="18"/>
          <w:lang w:val="en-GB"/>
        </w:rPr>
        <w:t xml:space="preserve">.  </w:t>
      </w:r>
      <w:r w:rsidR="00D94626" w:rsidRPr="00564DBB">
        <w:rPr>
          <w:sz w:val="18"/>
          <w:lang w:val="en-GB"/>
        </w:rPr>
        <w:t xml:space="preserve">This trend is likely to reverse in the coming decade as new Australian projects </w:t>
      </w:r>
      <w:r w:rsidR="00D94626">
        <w:rPr>
          <w:sz w:val="18"/>
          <w:lang w:val="en-GB"/>
        </w:rPr>
        <w:t xml:space="preserve">are expected to </w:t>
      </w:r>
      <w:proofErr w:type="gramStart"/>
      <w:r w:rsidR="00D94626">
        <w:rPr>
          <w:sz w:val="18"/>
          <w:lang w:val="en-GB"/>
        </w:rPr>
        <w:t>come</w:t>
      </w:r>
      <w:proofErr w:type="gramEnd"/>
      <w:r w:rsidR="00D94626">
        <w:rPr>
          <w:sz w:val="18"/>
          <w:lang w:val="en-GB"/>
        </w:rPr>
        <w:t xml:space="preserve"> on-stream </w:t>
      </w:r>
      <w:r w:rsidR="00EB31F9">
        <w:rPr>
          <w:sz w:val="18"/>
          <w:lang w:val="en-GB"/>
        </w:rPr>
        <w:t>post-2015</w:t>
      </w:r>
      <w:r w:rsidR="00D94626" w:rsidRPr="00564DBB">
        <w:rPr>
          <w:sz w:val="18"/>
          <w:lang w:val="en-GB"/>
        </w:rPr>
        <w:t xml:space="preserve"> and prospects for growth in </w:t>
      </w:r>
      <w:r w:rsidR="00D94626" w:rsidRPr="00564DBB">
        <w:rPr>
          <w:sz w:val="18"/>
          <w:lang w:val="en-GB"/>
        </w:rPr>
        <w:lastRenderedPageBreak/>
        <w:t xml:space="preserve">LNG exports turn to newer regions such as North America and East Africa.  </w:t>
      </w:r>
    </w:p>
    <w:p w:rsidR="00856114" w:rsidRDefault="00856114" w:rsidP="00D94626">
      <w:pPr>
        <w:spacing w:line="252" w:lineRule="auto"/>
        <w:ind w:left="180"/>
        <w:jc w:val="both"/>
        <w:rPr>
          <w:sz w:val="18"/>
          <w:lang w:val="en-GB"/>
        </w:rPr>
      </w:pPr>
    </w:p>
    <w:tbl>
      <w:tblPr>
        <w:tblpPr w:leftFromText="180" w:rightFromText="180" w:vertAnchor="text" w:horzAnchor="margin" w:tblpXSpec="right" w:tblpY="483"/>
        <w:tblW w:w="4957" w:type="dxa"/>
        <w:tblLayout w:type="fixed"/>
        <w:tblLook w:val="01E0"/>
      </w:tblPr>
      <w:tblGrid>
        <w:gridCol w:w="4957"/>
      </w:tblGrid>
      <w:tr w:rsidR="0073009F" w:rsidRPr="00A918C1" w:rsidTr="0073009F">
        <w:trPr>
          <w:trHeight w:val="2938"/>
        </w:trPr>
        <w:tc>
          <w:tcPr>
            <w:tcW w:w="4957" w:type="dxa"/>
          </w:tcPr>
          <w:p w:rsidR="0073009F" w:rsidRPr="00251A0D" w:rsidRDefault="0073009F" w:rsidP="0073009F">
            <w:pPr>
              <w:pStyle w:val="PFCBulletedText2"/>
              <w:spacing w:before="120" w:after="0"/>
              <w:ind w:left="0" w:firstLine="0"/>
              <w:jc w:val="left"/>
              <w:rPr>
                <w:noProof/>
                <w:highlight w:val="magenta"/>
                <w:lang w:eastAsia="en-US"/>
              </w:rPr>
            </w:pPr>
            <w:r>
              <w:rPr>
                <w:noProof/>
                <w:lang w:val="fr-FR" w:eastAsia="zh-CN"/>
              </w:rPr>
              <w:drawing>
                <wp:inline distT="0" distB="0" distL="0" distR="0">
                  <wp:extent cx="3019425" cy="2041525"/>
                  <wp:effectExtent l="19050" t="0" r="9525" b="0"/>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3019425" cy="2041525"/>
                          </a:xfrm>
                          <a:prstGeom prst="rect">
                            <a:avLst/>
                          </a:prstGeom>
                          <a:noFill/>
                          <a:ln w="9525">
                            <a:noFill/>
                            <a:miter lim="800000"/>
                            <a:headEnd/>
                            <a:tailEnd/>
                          </a:ln>
                        </pic:spPr>
                      </pic:pic>
                    </a:graphicData>
                  </a:graphic>
                </wp:inline>
              </w:drawing>
            </w:r>
          </w:p>
          <w:p w:rsidR="0073009F" w:rsidRPr="0062277C" w:rsidRDefault="0073009F" w:rsidP="0073009F">
            <w:pPr>
              <w:pStyle w:val="PFCBulletedText2"/>
              <w:ind w:left="0" w:firstLine="0"/>
              <w:jc w:val="left"/>
              <w:rPr>
                <w:b/>
                <w:sz w:val="18"/>
                <w:szCs w:val="18"/>
              </w:rPr>
            </w:pPr>
            <w:r w:rsidRPr="0062277C">
              <w:rPr>
                <w:b/>
                <w:sz w:val="18"/>
                <w:szCs w:val="18"/>
              </w:rPr>
              <w:t xml:space="preserve">Figure </w:t>
            </w:r>
            <w:r>
              <w:rPr>
                <w:b/>
                <w:sz w:val="18"/>
                <w:szCs w:val="18"/>
              </w:rPr>
              <w:t>3.</w:t>
            </w:r>
            <w:r w:rsidRPr="0062277C">
              <w:rPr>
                <w:b/>
                <w:sz w:val="18"/>
                <w:szCs w:val="18"/>
              </w:rPr>
              <w:t xml:space="preserve">4:  LNG Exports by Region, 1991-2012  </w:t>
            </w:r>
          </w:p>
          <w:p w:rsidR="0073009F" w:rsidRPr="00494081" w:rsidRDefault="0073009F" w:rsidP="0073009F">
            <w:pPr>
              <w:pStyle w:val="PFCBulletedText2"/>
              <w:ind w:left="0" w:firstLine="0"/>
              <w:jc w:val="left"/>
              <w:rPr>
                <w:sz w:val="16"/>
                <w:szCs w:val="16"/>
              </w:rPr>
            </w:pPr>
            <w:r w:rsidRPr="0062277C">
              <w:rPr>
                <w:i/>
                <w:sz w:val="16"/>
                <w:szCs w:val="16"/>
              </w:rPr>
              <w:t xml:space="preserve">Sources: </w:t>
            </w:r>
            <w:proofErr w:type="spellStart"/>
            <w:r w:rsidRPr="0062277C">
              <w:rPr>
                <w:i/>
                <w:sz w:val="16"/>
                <w:szCs w:val="16"/>
              </w:rPr>
              <w:t>Cedigaz</w:t>
            </w:r>
            <w:proofErr w:type="spellEnd"/>
            <w:r w:rsidRPr="0062277C">
              <w:rPr>
                <w:i/>
                <w:sz w:val="16"/>
                <w:szCs w:val="16"/>
              </w:rPr>
              <w:t xml:space="preserve">, </w:t>
            </w:r>
            <w:r>
              <w:rPr>
                <w:i/>
                <w:sz w:val="16"/>
                <w:szCs w:val="16"/>
              </w:rPr>
              <w:t xml:space="preserve">GIIGNL, </w:t>
            </w:r>
            <w:r w:rsidRPr="0062277C">
              <w:rPr>
                <w:i/>
                <w:sz w:val="16"/>
                <w:szCs w:val="16"/>
              </w:rPr>
              <w:t>Waterborne LNG Reports, US DOE, PFC Energy Global LNG Service</w:t>
            </w:r>
          </w:p>
        </w:tc>
      </w:tr>
    </w:tbl>
    <w:p w:rsidR="00D94626" w:rsidRDefault="00D94626" w:rsidP="00D94626">
      <w:pPr>
        <w:spacing w:line="252" w:lineRule="auto"/>
        <w:ind w:left="180"/>
        <w:jc w:val="both"/>
        <w:rPr>
          <w:sz w:val="18"/>
          <w:lang w:val="en-GB"/>
        </w:rPr>
      </w:pPr>
      <w:r w:rsidRPr="00564DBB">
        <w:rPr>
          <w:sz w:val="18"/>
          <w:lang w:val="en-GB"/>
        </w:rPr>
        <w:t xml:space="preserve">The Middle East and North Africa region faces </w:t>
      </w:r>
      <w:r w:rsidR="00187963">
        <w:rPr>
          <w:sz w:val="18"/>
          <w:lang w:val="en-GB"/>
        </w:rPr>
        <w:t>many</w:t>
      </w:r>
      <w:r w:rsidRPr="00564DBB">
        <w:rPr>
          <w:sz w:val="18"/>
          <w:lang w:val="en-GB"/>
        </w:rPr>
        <w:t xml:space="preserve"> issues which impact development from country to country; these include rising domestic demand, regulatory or energy policy clarity, economic and political stability, sanctions (in the case of Iran), and more </w:t>
      </w:r>
      <w:r w:rsidRPr="00EA74D1">
        <w:rPr>
          <w:sz w:val="18"/>
          <w:lang w:val="en-GB"/>
        </w:rPr>
        <w:t>challenging geological structures and uncertainties related to reserves</w:t>
      </w:r>
      <w:r w:rsidRPr="00564DBB">
        <w:rPr>
          <w:sz w:val="18"/>
          <w:lang w:val="en-GB"/>
        </w:rPr>
        <w:t>.</w:t>
      </w:r>
    </w:p>
    <w:p w:rsidR="007618D1" w:rsidRDefault="007618D1" w:rsidP="007618D1">
      <w:pPr>
        <w:spacing w:line="252" w:lineRule="auto"/>
        <w:ind w:left="180"/>
        <w:jc w:val="both"/>
        <w:rPr>
          <w:sz w:val="18"/>
          <w:lang w:val="en-GB"/>
        </w:rPr>
      </w:pPr>
    </w:p>
    <w:p w:rsidR="007618D1" w:rsidRPr="00542E7D" w:rsidRDefault="007618D1" w:rsidP="007618D1">
      <w:pPr>
        <w:spacing w:line="252" w:lineRule="auto"/>
        <w:ind w:left="180"/>
        <w:jc w:val="both"/>
        <w:rPr>
          <w:sz w:val="18"/>
          <w:lang w:val="en-GB"/>
        </w:rPr>
      </w:pPr>
      <w:r w:rsidRPr="00542E7D">
        <w:rPr>
          <w:sz w:val="18"/>
          <w:lang w:val="en-GB"/>
        </w:rPr>
        <w:t xml:space="preserve">Re-exports have been growing rapidly over the past three years and reached 3.5 MT in 2012.  In 2012, growth in re-exports was mainly attributed to strong LNG demand in South America and weaker demand in Europe prompted Belgium, France, Portugal, and Spain to re-export to </w:t>
      </w:r>
      <w:r w:rsidRPr="00542E7D">
        <w:rPr>
          <w:sz w:val="18"/>
          <w:lang w:val="en-GB"/>
        </w:rPr>
        <w:lastRenderedPageBreak/>
        <w:t xml:space="preserve">higher-paying markets such as Argentina and Brazil.   </w:t>
      </w:r>
    </w:p>
    <w:p w:rsidR="00D94626" w:rsidRDefault="00D94626" w:rsidP="00D94626">
      <w:pPr>
        <w:spacing w:line="252" w:lineRule="auto"/>
        <w:ind w:left="180"/>
        <w:jc w:val="both"/>
        <w:rPr>
          <w:sz w:val="18"/>
          <w:lang w:val="en-GB"/>
        </w:rPr>
      </w:pPr>
    </w:p>
    <w:tbl>
      <w:tblPr>
        <w:tblpPr w:leftFromText="180" w:rightFromText="180" w:vertAnchor="text" w:horzAnchor="margin" w:tblpY="-74"/>
        <w:tblW w:w="4975" w:type="dxa"/>
        <w:tblLayout w:type="fixed"/>
        <w:tblLook w:val="01E0"/>
      </w:tblPr>
      <w:tblGrid>
        <w:gridCol w:w="4975"/>
      </w:tblGrid>
      <w:tr w:rsidR="0073009F" w:rsidRPr="00A918C1" w:rsidTr="0073009F">
        <w:trPr>
          <w:trHeight w:val="2938"/>
        </w:trPr>
        <w:tc>
          <w:tcPr>
            <w:tcW w:w="4975" w:type="dxa"/>
          </w:tcPr>
          <w:p w:rsidR="0073009F" w:rsidRPr="00251A0D" w:rsidRDefault="0073009F" w:rsidP="0073009F">
            <w:pPr>
              <w:pStyle w:val="PFCBulletedText2"/>
              <w:spacing w:before="120" w:after="0"/>
              <w:ind w:left="0" w:firstLine="0"/>
              <w:jc w:val="left"/>
              <w:rPr>
                <w:noProof/>
                <w:highlight w:val="magenta"/>
                <w:lang w:eastAsia="en-US"/>
              </w:rPr>
            </w:pPr>
            <w:r>
              <w:rPr>
                <w:noProof/>
                <w:lang w:val="fr-FR" w:eastAsia="zh-CN"/>
              </w:rPr>
              <w:drawing>
                <wp:inline distT="0" distB="0" distL="0" distR="0">
                  <wp:extent cx="3019557" cy="1924493"/>
                  <wp:effectExtent l="19050" t="0" r="9393" b="0"/>
                  <wp:docPr id="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3019425" cy="1924409"/>
                          </a:xfrm>
                          <a:prstGeom prst="rect">
                            <a:avLst/>
                          </a:prstGeom>
                          <a:noFill/>
                          <a:ln w="9525">
                            <a:noFill/>
                            <a:miter lim="800000"/>
                            <a:headEnd/>
                            <a:tailEnd/>
                          </a:ln>
                        </pic:spPr>
                      </pic:pic>
                    </a:graphicData>
                  </a:graphic>
                </wp:inline>
              </w:drawing>
            </w:r>
          </w:p>
          <w:p w:rsidR="0073009F" w:rsidRPr="00EB1153" w:rsidRDefault="0073009F" w:rsidP="0073009F">
            <w:pPr>
              <w:pStyle w:val="PFCBulletedText2"/>
              <w:ind w:left="0" w:firstLine="0"/>
              <w:jc w:val="left"/>
              <w:rPr>
                <w:i/>
                <w:sz w:val="16"/>
                <w:szCs w:val="16"/>
              </w:rPr>
            </w:pPr>
            <w:r w:rsidRPr="00EB1153">
              <w:rPr>
                <w:b/>
                <w:sz w:val="18"/>
                <w:szCs w:val="18"/>
              </w:rPr>
              <w:t xml:space="preserve">Figure </w:t>
            </w:r>
            <w:r>
              <w:rPr>
                <w:b/>
                <w:sz w:val="18"/>
                <w:szCs w:val="18"/>
              </w:rPr>
              <w:t>3.</w:t>
            </w:r>
            <w:r w:rsidRPr="00EB1153">
              <w:rPr>
                <w:b/>
                <w:sz w:val="18"/>
                <w:szCs w:val="18"/>
              </w:rPr>
              <w:t>5:  Re-Exports by Country, 2005-2012</w:t>
            </w:r>
          </w:p>
          <w:p w:rsidR="0073009F" w:rsidRPr="00494081" w:rsidRDefault="0073009F" w:rsidP="0073009F">
            <w:pPr>
              <w:pStyle w:val="PFCBulletedText2"/>
              <w:ind w:left="0" w:firstLine="0"/>
              <w:jc w:val="left"/>
              <w:rPr>
                <w:sz w:val="16"/>
                <w:szCs w:val="16"/>
              </w:rPr>
            </w:pPr>
            <w:r w:rsidRPr="00EB1153">
              <w:rPr>
                <w:i/>
                <w:sz w:val="16"/>
                <w:szCs w:val="16"/>
              </w:rPr>
              <w:t xml:space="preserve">Sources: </w:t>
            </w:r>
            <w:proofErr w:type="spellStart"/>
            <w:r w:rsidRPr="00EB1153">
              <w:rPr>
                <w:i/>
                <w:sz w:val="16"/>
                <w:szCs w:val="16"/>
              </w:rPr>
              <w:t>Cedigaz</w:t>
            </w:r>
            <w:proofErr w:type="spellEnd"/>
            <w:r w:rsidRPr="00EB1153">
              <w:rPr>
                <w:i/>
                <w:sz w:val="16"/>
                <w:szCs w:val="16"/>
              </w:rPr>
              <w:t xml:space="preserve">, </w:t>
            </w:r>
            <w:r>
              <w:rPr>
                <w:i/>
                <w:sz w:val="16"/>
                <w:szCs w:val="16"/>
              </w:rPr>
              <w:t xml:space="preserve">GIIGNL, </w:t>
            </w:r>
            <w:r w:rsidRPr="00EB1153">
              <w:rPr>
                <w:i/>
                <w:sz w:val="16"/>
                <w:szCs w:val="16"/>
              </w:rPr>
              <w:t>Waterborne LNG Reports, US DOE, PFC Energy Global LNG Service</w:t>
            </w:r>
          </w:p>
        </w:tc>
      </w:tr>
    </w:tbl>
    <w:p w:rsidR="00D94626" w:rsidRPr="009C3813" w:rsidRDefault="00D94626" w:rsidP="00C401C6">
      <w:pPr>
        <w:pStyle w:val="Titre2"/>
        <w:ind w:firstLine="180"/>
        <w:rPr>
          <w:lang w:val="en-GB"/>
        </w:rPr>
      </w:pPr>
      <w:bookmarkStart w:id="9" w:name="_Toc360628230"/>
      <w:r w:rsidRPr="009C3813">
        <w:rPr>
          <w:lang w:val="en-GB"/>
        </w:rPr>
        <w:t>3.</w:t>
      </w:r>
      <w:r w:rsidR="00B471CB">
        <w:rPr>
          <w:lang w:val="en-GB"/>
        </w:rPr>
        <w:t>3</w:t>
      </w:r>
      <w:r w:rsidRPr="009C3813">
        <w:rPr>
          <w:lang w:val="en-GB"/>
        </w:rPr>
        <w:t>. LNG IMPORTS BY COUNTRY</w:t>
      </w:r>
      <w:bookmarkEnd w:id="9"/>
    </w:p>
    <w:p w:rsidR="00D94626" w:rsidRPr="00564DBB" w:rsidRDefault="00D94626" w:rsidP="00D94626">
      <w:pPr>
        <w:spacing w:line="252" w:lineRule="auto"/>
        <w:ind w:left="180"/>
        <w:jc w:val="both"/>
        <w:rPr>
          <w:sz w:val="18"/>
          <w:lang w:val="en-GB"/>
        </w:rPr>
      </w:pPr>
    </w:p>
    <w:p w:rsidR="00D94626" w:rsidRPr="007C4E53" w:rsidRDefault="00D94626" w:rsidP="00D94626">
      <w:pPr>
        <w:spacing w:line="252" w:lineRule="auto"/>
        <w:ind w:left="180"/>
        <w:jc w:val="both"/>
        <w:rPr>
          <w:sz w:val="18"/>
          <w:lang w:val="en-GB"/>
        </w:rPr>
      </w:pPr>
      <w:r w:rsidRPr="007C4E53">
        <w:rPr>
          <w:sz w:val="18"/>
          <w:lang w:val="en-GB"/>
        </w:rPr>
        <w:t xml:space="preserve">Japan and Korea are the world’s dominant LNG importers, consuming 52% of LNG supplied to the </w:t>
      </w:r>
      <w:proofErr w:type="gramStart"/>
      <w:r w:rsidR="00A932B7">
        <w:rPr>
          <w:sz w:val="18"/>
          <w:lang w:val="en-GB"/>
        </w:rPr>
        <w:t xml:space="preserve">market </w:t>
      </w:r>
      <w:r w:rsidRPr="007C4E53">
        <w:rPr>
          <w:sz w:val="18"/>
          <w:lang w:val="en-GB"/>
        </w:rPr>
        <w:t xml:space="preserve"> in</w:t>
      </w:r>
      <w:proofErr w:type="gramEnd"/>
      <w:r w:rsidRPr="007C4E53">
        <w:rPr>
          <w:sz w:val="18"/>
          <w:lang w:val="en-GB"/>
        </w:rPr>
        <w:t xml:space="preserve"> 2012.  </w:t>
      </w:r>
    </w:p>
    <w:tbl>
      <w:tblPr>
        <w:tblpPr w:leftFromText="180" w:rightFromText="180" w:vertAnchor="text" w:horzAnchor="margin" w:tblpY="59"/>
        <w:tblW w:w="4975" w:type="dxa"/>
        <w:tblLayout w:type="fixed"/>
        <w:tblLook w:val="01E0"/>
      </w:tblPr>
      <w:tblGrid>
        <w:gridCol w:w="4975"/>
      </w:tblGrid>
      <w:tr w:rsidR="00D94626" w:rsidRPr="00A918C1" w:rsidTr="00E757B1">
        <w:trPr>
          <w:trHeight w:val="2938"/>
        </w:trPr>
        <w:tc>
          <w:tcPr>
            <w:tcW w:w="4975" w:type="dxa"/>
          </w:tcPr>
          <w:p w:rsidR="00D94626" w:rsidRDefault="00663E86" w:rsidP="00E757B1">
            <w:pPr>
              <w:pStyle w:val="PFCBulletedText2"/>
              <w:ind w:left="0" w:firstLine="0"/>
              <w:jc w:val="left"/>
              <w:rPr>
                <w:b/>
                <w:sz w:val="18"/>
                <w:szCs w:val="18"/>
              </w:rPr>
            </w:pPr>
            <w:r>
              <w:rPr>
                <w:b/>
                <w:noProof/>
                <w:sz w:val="18"/>
                <w:szCs w:val="18"/>
                <w:lang w:val="fr-FR" w:eastAsia="zh-CN"/>
              </w:rPr>
              <w:drawing>
                <wp:inline distT="0" distB="0" distL="0" distR="0">
                  <wp:extent cx="3016250" cy="2005965"/>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3016250" cy="2005965"/>
                          </a:xfrm>
                          <a:prstGeom prst="rect">
                            <a:avLst/>
                          </a:prstGeom>
                          <a:noFill/>
                          <a:ln w="9525">
                            <a:noFill/>
                            <a:miter lim="800000"/>
                            <a:headEnd/>
                            <a:tailEnd/>
                          </a:ln>
                        </pic:spPr>
                      </pic:pic>
                    </a:graphicData>
                  </a:graphic>
                </wp:inline>
              </w:drawing>
            </w:r>
            <w:r w:rsidR="00D94626" w:rsidRPr="0026740D">
              <w:rPr>
                <w:b/>
                <w:sz w:val="18"/>
                <w:szCs w:val="18"/>
              </w:rPr>
              <w:t xml:space="preserve">Figure </w:t>
            </w:r>
            <w:r w:rsidR="00F05256">
              <w:rPr>
                <w:b/>
                <w:sz w:val="18"/>
                <w:szCs w:val="18"/>
              </w:rPr>
              <w:t>3.</w:t>
            </w:r>
            <w:r w:rsidR="00D94626">
              <w:rPr>
                <w:b/>
                <w:sz w:val="18"/>
                <w:szCs w:val="18"/>
              </w:rPr>
              <w:t>6</w:t>
            </w:r>
            <w:r w:rsidR="00D94626" w:rsidRPr="0026740D">
              <w:rPr>
                <w:b/>
                <w:sz w:val="18"/>
                <w:szCs w:val="18"/>
              </w:rPr>
              <w:t xml:space="preserve">: LNG </w:t>
            </w:r>
            <w:r w:rsidR="00D94626">
              <w:rPr>
                <w:b/>
                <w:sz w:val="18"/>
                <w:szCs w:val="18"/>
              </w:rPr>
              <w:t xml:space="preserve">Imports </w:t>
            </w:r>
            <w:r w:rsidR="00D94626" w:rsidRPr="0026740D">
              <w:rPr>
                <w:b/>
                <w:sz w:val="18"/>
                <w:szCs w:val="18"/>
              </w:rPr>
              <w:t>by Country</w:t>
            </w:r>
            <w:r w:rsidR="00D94626">
              <w:rPr>
                <w:b/>
                <w:sz w:val="18"/>
                <w:szCs w:val="18"/>
              </w:rPr>
              <w:t>:</w:t>
            </w:r>
            <w:r w:rsidR="00D94626" w:rsidRPr="0026740D">
              <w:rPr>
                <w:b/>
                <w:sz w:val="18"/>
                <w:szCs w:val="18"/>
              </w:rPr>
              <w:t xml:space="preserve"> 2012</w:t>
            </w:r>
            <w:r w:rsidR="00D94626">
              <w:rPr>
                <w:b/>
                <w:sz w:val="18"/>
                <w:szCs w:val="18"/>
              </w:rPr>
              <w:t xml:space="preserve"> Imports &amp; Incremental Change Relative to 2011 (in MTPA)</w:t>
            </w:r>
          </w:p>
          <w:p w:rsidR="00D94626" w:rsidRDefault="00D94626" w:rsidP="00E757B1">
            <w:pPr>
              <w:pStyle w:val="PFCBulletedText2"/>
              <w:ind w:left="0" w:firstLine="0"/>
              <w:jc w:val="left"/>
              <w:rPr>
                <w:i/>
                <w:sz w:val="16"/>
                <w:szCs w:val="16"/>
              </w:rPr>
            </w:pPr>
            <w:r>
              <w:rPr>
                <w:i/>
                <w:sz w:val="16"/>
                <w:szCs w:val="16"/>
              </w:rPr>
              <w:t xml:space="preserve">“Other” includes Canada, UAE, Greece, Thailand, Puerto Rico, Dominican Republic, Indonesia, and the Netherlands </w:t>
            </w:r>
          </w:p>
          <w:p w:rsidR="00D94626" w:rsidRPr="00494081" w:rsidRDefault="00A932B7" w:rsidP="00A932B7">
            <w:pPr>
              <w:pStyle w:val="PFCBulletedText2"/>
              <w:ind w:left="0" w:firstLine="0"/>
              <w:jc w:val="left"/>
              <w:rPr>
                <w:sz w:val="16"/>
                <w:szCs w:val="16"/>
              </w:rPr>
            </w:pPr>
            <w:r>
              <w:rPr>
                <w:i/>
                <w:sz w:val="16"/>
                <w:szCs w:val="16"/>
              </w:rPr>
              <w:t>Sources: Waterborne LNG</w:t>
            </w:r>
            <w:r w:rsidR="00D94626" w:rsidRPr="0026740D">
              <w:rPr>
                <w:i/>
                <w:sz w:val="16"/>
                <w:szCs w:val="16"/>
              </w:rPr>
              <w:t>, US DOE, PFC Energy Global LNG Service</w:t>
            </w:r>
          </w:p>
        </w:tc>
      </w:tr>
    </w:tbl>
    <w:p w:rsidR="00D94626" w:rsidRDefault="00D94626" w:rsidP="00D94626">
      <w:pPr>
        <w:spacing w:line="252" w:lineRule="auto"/>
        <w:jc w:val="both"/>
        <w:rPr>
          <w:sz w:val="18"/>
          <w:highlight w:val="yellow"/>
          <w:lang w:val="en-GB"/>
        </w:rPr>
      </w:pPr>
    </w:p>
    <w:p w:rsidR="00D94626" w:rsidRPr="00542E7D" w:rsidRDefault="00FD4426" w:rsidP="00D94626">
      <w:pPr>
        <w:tabs>
          <w:tab w:val="num" w:pos="720"/>
          <w:tab w:val="num" w:pos="1440"/>
        </w:tabs>
        <w:spacing w:line="252" w:lineRule="auto"/>
        <w:jc w:val="both"/>
        <w:rPr>
          <w:sz w:val="18"/>
        </w:rPr>
      </w:pPr>
      <w:r>
        <w:rPr>
          <w:sz w:val="18"/>
          <w:lang w:val="en-GB"/>
        </w:rPr>
        <w:t>This figure was 4%</w:t>
      </w:r>
      <w:r w:rsidR="00D94626" w:rsidRPr="00743B92">
        <w:rPr>
          <w:sz w:val="18"/>
          <w:lang w:val="en-GB"/>
        </w:rPr>
        <w:t xml:space="preserve"> higher than 2011 volumes due to even higher </w:t>
      </w:r>
      <w:r w:rsidR="00D94626" w:rsidRPr="00542E7D">
        <w:rPr>
          <w:sz w:val="18"/>
          <w:lang w:val="en-GB"/>
        </w:rPr>
        <w:t xml:space="preserve">demand for LNG in Japan as most of the country’s nuclear reactors are still offline following the March 2011 </w:t>
      </w:r>
      <w:r w:rsidR="00E96746">
        <w:rPr>
          <w:sz w:val="18"/>
          <w:lang w:val="en-GB"/>
        </w:rPr>
        <w:t>Great Eastern Earthquake</w:t>
      </w:r>
      <w:r w:rsidR="00D94626" w:rsidRPr="00542E7D">
        <w:rPr>
          <w:sz w:val="18"/>
          <w:lang w:val="en-GB"/>
        </w:rPr>
        <w:t xml:space="preserve">.  </w:t>
      </w:r>
      <w:r w:rsidR="00D94626" w:rsidRPr="00542E7D">
        <w:rPr>
          <w:sz w:val="18"/>
        </w:rPr>
        <w:t>Nuclear generation, which previously accounted for 30% of Japan’s power supply, fell 43% in 2011 and another 89% in 2012. In the second half of 2012, nuclear power made up just</w:t>
      </w:r>
      <w:r w:rsidR="00E96746">
        <w:rPr>
          <w:sz w:val="18"/>
        </w:rPr>
        <w:t xml:space="preserve"> 3% of electricity supply.  These nuclear outages </w:t>
      </w:r>
      <w:r w:rsidR="00D94626" w:rsidRPr="00542E7D">
        <w:rPr>
          <w:sz w:val="18"/>
        </w:rPr>
        <w:t xml:space="preserve">prompted a 12% increase in LNG imports in 2011 and an 11% increase in 2012. As a result, LNG imports have become increasingly expensive and </w:t>
      </w:r>
      <w:r w:rsidR="00D94626" w:rsidRPr="00542E7D">
        <w:rPr>
          <w:sz w:val="18"/>
        </w:rPr>
        <w:lastRenderedPageBreak/>
        <w:t xml:space="preserve">buyers have bolstered marketing activities to secure LNG supply. LNG has not made up the nuclear generation shortfall alone, however, crude and HFO purchases by Japanese utilities have increased substantially. This has solely been an emergency response to boost power generation; the country is not expected to continue to have a high reliance on oil-fired power plants, many of which are aging and inefficient, once nuclear plants restart. </w:t>
      </w:r>
    </w:p>
    <w:p w:rsidR="00D94626" w:rsidRPr="00542E7D" w:rsidRDefault="00D94626" w:rsidP="00D94626">
      <w:pPr>
        <w:tabs>
          <w:tab w:val="num" w:pos="720"/>
          <w:tab w:val="num" w:pos="1440"/>
        </w:tabs>
        <w:spacing w:line="252" w:lineRule="auto"/>
        <w:ind w:left="180"/>
        <w:jc w:val="both"/>
        <w:rPr>
          <w:sz w:val="18"/>
        </w:rPr>
      </w:pPr>
    </w:p>
    <w:p w:rsidR="00D94626" w:rsidRPr="00542E7D" w:rsidRDefault="00D94626" w:rsidP="00D94626">
      <w:pPr>
        <w:spacing w:line="252" w:lineRule="auto"/>
        <w:jc w:val="both"/>
        <w:rPr>
          <w:sz w:val="18"/>
          <w:lang w:val="en-GB"/>
        </w:rPr>
      </w:pPr>
      <w:r w:rsidRPr="00542E7D">
        <w:rPr>
          <w:sz w:val="18"/>
          <w:lang w:val="en-GB"/>
        </w:rPr>
        <w:t xml:space="preserve">Asian countries are by far the most dependent on LNG imports to meet gas demand, more than double the share in Latin America and Europe.  The two largest importers – Japan and Korea – rely almost entirely on LNG.  China and India are two countries with tremendous LNG growth trajectories, but currently LNG is less than 40% of total gas consumption. Mexico consumes the most LNG in North America, but the region as a whole relies marginally on LNG for gas needs.   </w:t>
      </w:r>
    </w:p>
    <w:p w:rsidR="00D94626" w:rsidRDefault="00D94626" w:rsidP="00D94626">
      <w:pPr>
        <w:spacing w:line="252" w:lineRule="auto"/>
        <w:jc w:val="both"/>
        <w:rPr>
          <w:sz w:val="18"/>
          <w:lang w:val="en-GB"/>
        </w:rPr>
      </w:pPr>
    </w:p>
    <w:p w:rsidR="007618D1" w:rsidRDefault="007618D1" w:rsidP="007618D1">
      <w:pPr>
        <w:spacing w:line="252" w:lineRule="auto"/>
        <w:jc w:val="both"/>
        <w:rPr>
          <w:color w:val="FF0000"/>
          <w:sz w:val="18"/>
          <w:lang w:val="en-GB"/>
        </w:rPr>
      </w:pPr>
      <w:r w:rsidRPr="00542E7D">
        <w:rPr>
          <w:sz w:val="18"/>
          <w:lang w:val="en-GB"/>
        </w:rPr>
        <w:t>However within regions, there is significant variation in the dependence on LNG to fulfil gas demand.  This is exceptionally evident in Europe where Spain uses LNG to meet 60% of gas demand, whereas Italy is only 10% dependent.</w:t>
      </w:r>
      <w:r>
        <w:rPr>
          <w:color w:val="FF0000"/>
          <w:sz w:val="18"/>
          <w:lang w:val="en-GB"/>
        </w:rPr>
        <w:t xml:space="preserve"> </w:t>
      </w:r>
    </w:p>
    <w:tbl>
      <w:tblPr>
        <w:tblpPr w:leftFromText="180" w:rightFromText="180" w:vertAnchor="text" w:horzAnchor="margin" w:tblpXSpec="right" w:tblpY="196"/>
        <w:tblW w:w="4975" w:type="dxa"/>
        <w:tblLayout w:type="fixed"/>
        <w:tblLook w:val="01E0"/>
      </w:tblPr>
      <w:tblGrid>
        <w:gridCol w:w="4975"/>
      </w:tblGrid>
      <w:tr w:rsidR="009703A8" w:rsidRPr="00542E7D" w:rsidTr="009703A8">
        <w:trPr>
          <w:trHeight w:val="2938"/>
        </w:trPr>
        <w:tc>
          <w:tcPr>
            <w:tcW w:w="4975" w:type="dxa"/>
          </w:tcPr>
          <w:p w:rsidR="009703A8" w:rsidRPr="00542E7D" w:rsidRDefault="009703A8" w:rsidP="009703A8">
            <w:pPr>
              <w:pStyle w:val="PFCBulletedText2"/>
              <w:spacing w:before="120" w:after="0"/>
              <w:ind w:left="0" w:firstLine="0"/>
              <w:jc w:val="left"/>
              <w:rPr>
                <w:noProof/>
                <w:lang w:eastAsia="en-US"/>
              </w:rPr>
            </w:pPr>
            <w:r w:rsidRPr="00542E7D">
              <w:rPr>
                <w:noProof/>
                <w:lang w:val="fr-FR" w:eastAsia="zh-CN"/>
              </w:rPr>
              <w:drawing>
                <wp:inline distT="0" distB="0" distL="0" distR="0">
                  <wp:extent cx="3023235" cy="3343910"/>
                  <wp:effectExtent l="19050" t="0" r="5715"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3023235" cy="3343910"/>
                          </a:xfrm>
                          <a:prstGeom prst="rect">
                            <a:avLst/>
                          </a:prstGeom>
                          <a:noFill/>
                          <a:ln w="9525">
                            <a:noFill/>
                            <a:miter lim="800000"/>
                            <a:headEnd/>
                            <a:tailEnd/>
                          </a:ln>
                        </pic:spPr>
                      </pic:pic>
                    </a:graphicData>
                  </a:graphic>
                </wp:inline>
              </w:drawing>
            </w:r>
          </w:p>
          <w:p w:rsidR="009703A8" w:rsidRPr="00542E7D" w:rsidRDefault="009703A8" w:rsidP="009703A8">
            <w:pPr>
              <w:pStyle w:val="PFCBulletedText2"/>
              <w:ind w:left="0" w:firstLine="0"/>
              <w:jc w:val="left"/>
              <w:rPr>
                <w:b/>
                <w:sz w:val="18"/>
                <w:szCs w:val="18"/>
              </w:rPr>
            </w:pPr>
            <w:r w:rsidRPr="00542E7D">
              <w:rPr>
                <w:b/>
                <w:sz w:val="18"/>
                <w:szCs w:val="18"/>
              </w:rPr>
              <w:t xml:space="preserve">Figure </w:t>
            </w:r>
            <w:r>
              <w:rPr>
                <w:b/>
                <w:sz w:val="18"/>
                <w:szCs w:val="18"/>
              </w:rPr>
              <w:t>3.</w:t>
            </w:r>
            <w:r w:rsidRPr="00542E7D">
              <w:rPr>
                <w:b/>
                <w:sz w:val="18"/>
                <w:szCs w:val="18"/>
              </w:rPr>
              <w:t>7:  The Role of LNG in Gas Markets in 2012</w:t>
            </w:r>
          </w:p>
          <w:p w:rsidR="009703A8" w:rsidRPr="00542E7D" w:rsidRDefault="009703A8" w:rsidP="009703A8">
            <w:pPr>
              <w:pStyle w:val="PFCBulletedText2"/>
              <w:ind w:left="0" w:firstLine="0"/>
              <w:jc w:val="left"/>
              <w:rPr>
                <w:sz w:val="16"/>
                <w:szCs w:val="16"/>
              </w:rPr>
            </w:pPr>
            <w:r w:rsidRPr="00542E7D">
              <w:rPr>
                <w:i/>
                <w:sz w:val="16"/>
                <w:szCs w:val="16"/>
              </w:rPr>
              <w:t>Sources: IEA, Waterborne LNG Reports, US DOE, PFC Energy Global LNG Service</w:t>
            </w:r>
          </w:p>
        </w:tc>
      </w:tr>
    </w:tbl>
    <w:p w:rsidR="007618D1" w:rsidRPr="00542E7D" w:rsidRDefault="007618D1" w:rsidP="00D94626">
      <w:pPr>
        <w:spacing w:line="252" w:lineRule="auto"/>
        <w:jc w:val="both"/>
        <w:rPr>
          <w:sz w:val="18"/>
          <w:lang w:val="en-GB"/>
        </w:rPr>
      </w:pPr>
    </w:p>
    <w:p w:rsidR="00D94626" w:rsidRDefault="00D94626" w:rsidP="00D94626">
      <w:pPr>
        <w:widowControl/>
        <w:rPr>
          <w:color w:val="FF0000"/>
          <w:sz w:val="18"/>
          <w:lang w:val="en-GB"/>
        </w:rPr>
        <w:sectPr w:rsidR="00D94626" w:rsidSect="00237EF0">
          <w:type w:val="continuous"/>
          <w:pgSz w:w="12240" w:h="15840" w:code="1"/>
          <w:pgMar w:top="1728" w:right="1080" w:bottom="1080" w:left="1008" w:header="432" w:footer="504" w:gutter="0"/>
          <w:cols w:num="2" w:space="432"/>
          <w:titlePg/>
          <w:docGrid w:linePitch="272"/>
        </w:sectPr>
      </w:pPr>
    </w:p>
    <w:p w:rsidR="00D94626" w:rsidRDefault="00D94626" w:rsidP="00D94626">
      <w:pPr>
        <w:widowControl/>
        <w:rPr>
          <w:color w:val="FF0000"/>
          <w:sz w:val="18"/>
          <w:lang w:val="en-GB"/>
        </w:rPr>
      </w:pPr>
    </w:p>
    <w:p w:rsidR="00D94626" w:rsidRDefault="00D94626" w:rsidP="00D94626">
      <w:pPr>
        <w:widowControl/>
        <w:rPr>
          <w:color w:val="FF0000"/>
          <w:sz w:val="18"/>
          <w:lang w:val="en-GB"/>
        </w:rPr>
      </w:pPr>
    </w:p>
    <w:p w:rsidR="00D94626" w:rsidRDefault="00D94626" w:rsidP="00D94626">
      <w:pPr>
        <w:widowControl/>
        <w:rPr>
          <w:color w:val="FF0000"/>
          <w:sz w:val="18"/>
          <w:lang w:val="en-GB"/>
        </w:rPr>
      </w:pPr>
    </w:p>
    <w:p w:rsidR="00D94626" w:rsidRDefault="00D94626" w:rsidP="00D94626">
      <w:pPr>
        <w:pStyle w:val="PFCBulletedText2"/>
        <w:ind w:left="0" w:firstLine="0"/>
        <w:jc w:val="left"/>
        <w:rPr>
          <w:b/>
          <w:sz w:val="18"/>
          <w:szCs w:val="18"/>
        </w:rPr>
      </w:pPr>
      <w:r w:rsidRPr="00EB3848">
        <w:rPr>
          <w:b/>
          <w:sz w:val="18"/>
          <w:szCs w:val="18"/>
        </w:rPr>
        <w:t xml:space="preserve">Table </w:t>
      </w:r>
      <w:r w:rsidR="00F05256">
        <w:rPr>
          <w:b/>
          <w:sz w:val="18"/>
          <w:szCs w:val="18"/>
        </w:rPr>
        <w:t>3.1</w:t>
      </w:r>
      <w:r w:rsidRPr="0026740D">
        <w:rPr>
          <w:b/>
          <w:sz w:val="18"/>
          <w:szCs w:val="18"/>
        </w:rPr>
        <w:t xml:space="preserve">: </w:t>
      </w:r>
      <w:r>
        <w:rPr>
          <w:b/>
          <w:sz w:val="18"/>
          <w:szCs w:val="18"/>
        </w:rPr>
        <w:t>LNG TRADE VOLUME BETWEEN COUNTRIES, 2012 (in MTPA)</w:t>
      </w:r>
    </w:p>
    <w:p w:rsidR="00D94626" w:rsidRDefault="00C12245" w:rsidP="00D94626">
      <w:pPr>
        <w:widowControl/>
        <w:rPr>
          <w:color w:val="FF0000"/>
          <w:sz w:val="18"/>
          <w:lang w:val="en-GB"/>
        </w:rPr>
      </w:pPr>
      <w:r w:rsidRPr="00C12245">
        <w:rPr>
          <w:noProof/>
          <w:lang w:val="fr-FR" w:eastAsia="zh-CN"/>
        </w:rPr>
        <w:drawing>
          <wp:inline distT="0" distB="0" distL="0" distR="0">
            <wp:extent cx="8968811" cy="4540102"/>
            <wp:effectExtent l="19050" t="0" r="3739"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8970079" cy="4540744"/>
                    </a:xfrm>
                    <a:prstGeom prst="rect">
                      <a:avLst/>
                    </a:prstGeom>
                    <a:noFill/>
                    <a:ln w="9525">
                      <a:noFill/>
                      <a:miter lim="800000"/>
                      <a:headEnd/>
                      <a:tailEnd/>
                    </a:ln>
                  </pic:spPr>
                </pic:pic>
              </a:graphicData>
            </a:graphic>
          </wp:inline>
        </w:drawing>
      </w:r>
    </w:p>
    <w:p w:rsidR="00D94626" w:rsidRDefault="00D94626" w:rsidP="00D94626">
      <w:pPr>
        <w:widowControl/>
        <w:rPr>
          <w:i/>
          <w:sz w:val="16"/>
          <w:szCs w:val="16"/>
        </w:rPr>
      </w:pPr>
    </w:p>
    <w:p w:rsidR="005C075F" w:rsidRPr="00B471CB" w:rsidRDefault="005C075F" w:rsidP="00D94626">
      <w:pPr>
        <w:widowControl/>
        <w:rPr>
          <w:i/>
          <w:sz w:val="16"/>
          <w:szCs w:val="16"/>
        </w:rPr>
      </w:pPr>
      <w:r w:rsidRPr="00B471CB">
        <w:rPr>
          <w:i/>
          <w:sz w:val="16"/>
          <w:szCs w:val="16"/>
        </w:rPr>
        <w:t>**Note: Indonesia conducted domestic LNG trade in 2012, so this is not reflec</w:t>
      </w:r>
      <w:r w:rsidR="000F00D7" w:rsidRPr="00B471CB">
        <w:rPr>
          <w:i/>
          <w:sz w:val="16"/>
          <w:szCs w:val="16"/>
        </w:rPr>
        <w:t>ted</w:t>
      </w:r>
      <w:r w:rsidRPr="00B471CB">
        <w:rPr>
          <w:i/>
          <w:sz w:val="16"/>
          <w:szCs w:val="16"/>
        </w:rPr>
        <w:t xml:space="preserve"> as </w:t>
      </w:r>
      <w:r w:rsidR="000F00D7" w:rsidRPr="00B471CB">
        <w:rPr>
          <w:i/>
          <w:sz w:val="16"/>
          <w:szCs w:val="16"/>
        </w:rPr>
        <w:t>an international trade between countries</w:t>
      </w:r>
      <w:r w:rsidRPr="00B471CB">
        <w:rPr>
          <w:i/>
          <w:sz w:val="16"/>
          <w:szCs w:val="16"/>
        </w:rPr>
        <w:t>.</w:t>
      </w:r>
    </w:p>
    <w:p w:rsidR="00D94626" w:rsidRDefault="00D94626" w:rsidP="00D94626">
      <w:pPr>
        <w:widowControl/>
        <w:rPr>
          <w:color w:val="FF0000"/>
          <w:sz w:val="18"/>
          <w:lang w:val="en-GB"/>
        </w:rPr>
        <w:sectPr w:rsidR="00D94626" w:rsidSect="00E757B1">
          <w:pgSz w:w="15840" w:h="12240" w:orient="landscape" w:code="1"/>
          <w:pgMar w:top="1008" w:right="1728" w:bottom="1080" w:left="1080" w:header="720" w:footer="504" w:gutter="0"/>
          <w:cols w:space="432"/>
          <w:docGrid w:linePitch="272"/>
        </w:sectPr>
      </w:pPr>
      <w:r w:rsidRPr="00EB3848">
        <w:rPr>
          <w:i/>
          <w:sz w:val="16"/>
          <w:szCs w:val="16"/>
        </w:rPr>
        <w:t xml:space="preserve">Sources: </w:t>
      </w:r>
      <w:r w:rsidRPr="0026740D">
        <w:rPr>
          <w:i/>
          <w:sz w:val="16"/>
          <w:szCs w:val="16"/>
        </w:rPr>
        <w:t>Waterborne LNG Reports, US DOE, PFC Energy Global LNG Service</w:t>
      </w:r>
    </w:p>
    <w:tbl>
      <w:tblPr>
        <w:tblpPr w:leftFromText="180" w:rightFromText="180" w:vertAnchor="text" w:horzAnchor="margin" w:tblpXSpec="right" w:tblpY="-46"/>
        <w:tblW w:w="4975" w:type="dxa"/>
        <w:tblLayout w:type="fixed"/>
        <w:tblLook w:val="01E0"/>
      </w:tblPr>
      <w:tblGrid>
        <w:gridCol w:w="4975"/>
      </w:tblGrid>
      <w:tr w:rsidR="005A11A2" w:rsidRPr="00A918C1" w:rsidTr="005A11A2">
        <w:trPr>
          <w:trHeight w:val="2938"/>
        </w:trPr>
        <w:tc>
          <w:tcPr>
            <w:tcW w:w="4975" w:type="dxa"/>
          </w:tcPr>
          <w:p w:rsidR="005A11A2" w:rsidRDefault="005A11A2" w:rsidP="005A11A2">
            <w:pPr>
              <w:pStyle w:val="PFCBulletedText2"/>
              <w:spacing w:before="120" w:after="0"/>
              <w:ind w:left="0" w:firstLine="0"/>
              <w:jc w:val="left"/>
              <w:rPr>
                <w:noProof/>
                <w:lang w:eastAsia="en-US"/>
              </w:rPr>
            </w:pPr>
            <w:r>
              <w:rPr>
                <w:noProof/>
                <w:lang w:val="fr-FR" w:eastAsia="zh-CN"/>
              </w:rPr>
              <w:lastRenderedPageBreak/>
              <w:drawing>
                <wp:inline distT="0" distB="0" distL="0" distR="0">
                  <wp:extent cx="3027045" cy="2065020"/>
                  <wp:effectExtent l="1905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3027045" cy="2065020"/>
                          </a:xfrm>
                          <a:prstGeom prst="rect">
                            <a:avLst/>
                          </a:prstGeom>
                          <a:noFill/>
                          <a:ln w="9525">
                            <a:noFill/>
                            <a:miter lim="800000"/>
                            <a:headEnd/>
                            <a:tailEnd/>
                          </a:ln>
                        </pic:spPr>
                      </pic:pic>
                    </a:graphicData>
                  </a:graphic>
                </wp:inline>
              </w:drawing>
            </w:r>
          </w:p>
          <w:p w:rsidR="005A11A2" w:rsidRDefault="005A11A2" w:rsidP="005A11A2">
            <w:pPr>
              <w:pStyle w:val="PFCBulletedText2"/>
              <w:ind w:left="0" w:firstLine="0"/>
              <w:jc w:val="left"/>
              <w:rPr>
                <w:b/>
                <w:sz w:val="18"/>
                <w:szCs w:val="18"/>
              </w:rPr>
            </w:pPr>
            <w:r>
              <w:rPr>
                <w:b/>
                <w:sz w:val="18"/>
                <w:szCs w:val="18"/>
              </w:rPr>
              <w:t xml:space="preserve">Figure 3.9: </w:t>
            </w:r>
            <w:r w:rsidRPr="00C24062">
              <w:rPr>
                <w:b/>
                <w:sz w:val="18"/>
                <w:szCs w:val="18"/>
              </w:rPr>
              <w:t>Inter-Basin Trade Flows 1964-2012</w:t>
            </w:r>
          </w:p>
          <w:p w:rsidR="005A11A2" w:rsidRPr="00494081" w:rsidRDefault="005A11A2" w:rsidP="005A11A2">
            <w:pPr>
              <w:pStyle w:val="PFCBulletedText2"/>
              <w:ind w:left="0" w:firstLine="0"/>
              <w:jc w:val="left"/>
              <w:rPr>
                <w:sz w:val="16"/>
                <w:szCs w:val="16"/>
              </w:rPr>
            </w:pPr>
            <w:r w:rsidRPr="003B0D00">
              <w:rPr>
                <w:i/>
                <w:sz w:val="16"/>
                <w:szCs w:val="16"/>
              </w:rPr>
              <w:t xml:space="preserve">Source: </w:t>
            </w:r>
            <w:proofErr w:type="spellStart"/>
            <w:r w:rsidRPr="005733C3">
              <w:rPr>
                <w:i/>
                <w:sz w:val="16"/>
                <w:szCs w:val="16"/>
              </w:rPr>
              <w:t>Cedigaz</w:t>
            </w:r>
            <w:proofErr w:type="spellEnd"/>
            <w:r w:rsidRPr="005733C3">
              <w:rPr>
                <w:i/>
                <w:sz w:val="16"/>
                <w:szCs w:val="16"/>
              </w:rPr>
              <w:t xml:space="preserve">, </w:t>
            </w:r>
            <w:r>
              <w:rPr>
                <w:i/>
                <w:sz w:val="16"/>
                <w:szCs w:val="16"/>
              </w:rPr>
              <w:t xml:space="preserve">GIIGNL, </w:t>
            </w:r>
            <w:r w:rsidRPr="005733C3">
              <w:rPr>
                <w:i/>
                <w:sz w:val="16"/>
                <w:szCs w:val="16"/>
              </w:rPr>
              <w:t>Waterborne LNG Reports, US DOE, PFC Energy Global LNG Service</w:t>
            </w:r>
          </w:p>
        </w:tc>
      </w:tr>
    </w:tbl>
    <w:p w:rsidR="00D94626" w:rsidRPr="00542E7D" w:rsidRDefault="00D94626" w:rsidP="00D94626">
      <w:pPr>
        <w:spacing w:line="252" w:lineRule="auto"/>
        <w:ind w:left="180"/>
        <w:jc w:val="both"/>
        <w:rPr>
          <w:sz w:val="18"/>
          <w:lang w:val="en-GB"/>
        </w:rPr>
      </w:pPr>
      <w:r>
        <w:rPr>
          <w:sz w:val="18"/>
          <w:lang w:val="en-GB"/>
        </w:rPr>
        <w:lastRenderedPageBreak/>
        <w:t>I</w:t>
      </w:r>
      <w:r w:rsidRPr="00EA74D1">
        <w:rPr>
          <w:sz w:val="18"/>
          <w:lang w:val="en-GB"/>
        </w:rPr>
        <w:t>nternal market dynamics have changed the trajectories of several countries</w:t>
      </w:r>
      <w:r>
        <w:rPr>
          <w:sz w:val="18"/>
          <w:lang w:val="en-GB"/>
        </w:rPr>
        <w:t xml:space="preserve"> over the past few years</w:t>
      </w:r>
      <w:r w:rsidRPr="00EA74D1">
        <w:rPr>
          <w:sz w:val="18"/>
          <w:lang w:val="en-GB"/>
        </w:rPr>
        <w:t xml:space="preserve">.  In North America, the evolution of US shale gas production has reduced LNG import needs in not only the US, but also Canada and Mexico due to the interconnectedness of the North </w:t>
      </w:r>
      <w:r w:rsidRPr="00542E7D">
        <w:rPr>
          <w:sz w:val="18"/>
          <w:lang w:val="en-GB"/>
        </w:rPr>
        <w:t xml:space="preserve">American grid. Europe’s share of global LNG demand fell 20% in 2012 – a level not seen since 1980.  In 2012 specifically, the increased competitiveness of coal, availability of renewable power and higher pipeline gas imports depressed LNG demand.  In Asia, demand continues to be resilient.  Most of the incremental gains in the region were a result of higher Japanese LNG demand to offset the declines in nuclear generation.  </w:t>
      </w:r>
    </w:p>
    <w:p w:rsidR="00D94626" w:rsidRPr="00542E7D" w:rsidRDefault="00D94626" w:rsidP="00D94626">
      <w:pPr>
        <w:spacing w:line="252" w:lineRule="auto"/>
        <w:ind w:left="180"/>
        <w:jc w:val="both"/>
        <w:rPr>
          <w:sz w:val="18"/>
          <w:lang w:val="en-GB"/>
        </w:rPr>
      </w:pPr>
    </w:p>
    <w:p w:rsidR="00D94626" w:rsidRPr="00542E7D" w:rsidRDefault="00D94626" w:rsidP="00D94626">
      <w:pPr>
        <w:spacing w:line="252" w:lineRule="auto"/>
        <w:ind w:left="180"/>
        <w:jc w:val="both"/>
        <w:rPr>
          <w:sz w:val="18"/>
          <w:lang w:val="en-GB"/>
        </w:rPr>
      </w:pPr>
      <w:r w:rsidRPr="00542E7D">
        <w:rPr>
          <w:sz w:val="18"/>
          <w:lang w:val="en-GB"/>
        </w:rPr>
        <w:t xml:space="preserve">In developed and emerging markets, gas is increasingly a fuel of </w:t>
      </w:r>
      <w:r w:rsidR="00E96746">
        <w:rPr>
          <w:sz w:val="18"/>
          <w:lang w:val="en-GB"/>
        </w:rPr>
        <w:t xml:space="preserve">choice </w:t>
      </w:r>
      <w:r w:rsidRPr="00542E7D">
        <w:rPr>
          <w:sz w:val="18"/>
          <w:lang w:val="en-GB"/>
        </w:rPr>
        <w:t xml:space="preserve">for electricity generators, provide heating and cooling, offset declining production, and support economic growth.  From end 2008 to 2012, eight countries have begun importing LNG joining the existing 18 importers.  Thus far in 2013, Israel and Singapore began receiving commercial cargoes and Malaysia has received a commissioning cargo.  </w:t>
      </w:r>
    </w:p>
    <w:p w:rsidR="00D94626" w:rsidRPr="00542E7D" w:rsidRDefault="00D94626" w:rsidP="00D94626">
      <w:pPr>
        <w:spacing w:line="252" w:lineRule="auto"/>
        <w:ind w:left="180"/>
        <w:jc w:val="both"/>
        <w:rPr>
          <w:sz w:val="18"/>
          <w:lang w:val="en-GB"/>
        </w:rPr>
      </w:pPr>
    </w:p>
    <w:p w:rsidR="00D94626" w:rsidRDefault="00D94626" w:rsidP="00D94626">
      <w:pPr>
        <w:spacing w:line="252" w:lineRule="auto"/>
        <w:ind w:left="180"/>
        <w:jc w:val="both"/>
        <w:rPr>
          <w:sz w:val="18"/>
          <w:lang w:val="en-GB"/>
        </w:rPr>
      </w:pPr>
      <w:r w:rsidRPr="00EA74D1">
        <w:rPr>
          <w:sz w:val="18"/>
          <w:lang w:val="en-GB"/>
        </w:rPr>
        <w:t xml:space="preserve">Notably, Indonesia, Malaysia and the UAE are traditional LNG exporters but domestic demand growth and geographic issues have forced all three countries to use regasification.  Although Indonesia currently sources its LNG from domestic producers, it could turn to imports from abroad by the end of the decade.  </w:t>
      </w:r>
      <w:r w:rsidRPr="00564DBB">
        <w:rPr>
          <w:sz w:val="18"/>
          <w:lang w:val="en-GB"/>
        </w:rPr>
        <w:t xml:space="preserve">  </w:t>
      </w:r>
    </w:p>
    <w:p w:rsidR="00D94626" w:rsidRPr="009C3813" w:rsidRDefault="00D94626" w:rsidP="00C401C6">
      <w:pPr>
        <w:pStyle w:val="Titre2"/>
        <w:ind w:firstLine="180"/>
        <w:rPr>
          <w:lang w:val="en-GB"/>
        </w:rPr>
      </w:pPr>
      <w:bookmarkStart w:id="10" w:name="_Toc360628231"/>
      <w:r w:rsidRPr="009C3813">
        <w:rPr>
          <w:lang w:val="en-GB"/>
        </w:rPr>
        <w:t>3.</w:t>
      </w:r>
      <w:r w:rsidR="00B471CB">
        <w:rPr>
          <w:lang w:val="en-GB"/>
        </w:rPr>
        <w:t>4</w:t>
      </w:r>
      <w:r w:rsidRPr="009C3813">
        <w:rPr>
          <w:lang w:val="en-GB"/>
        </w:rPr>
        <w:t>. LNG INTERREGIONAL TRADE</w:t>
      </w:r>
      <w:bookmarkEnd w:id="10"/>
    </w:p>
    <w:p w:rsidR="00D94626" w:rsidRPr="00564DBB" w:rsidRDefault="00D94626" w:rsidP="00D94626">
      <w:pPr>
        <w:spacing w:line="252" w:lineRule="auto"/>
        <w:ind w:left="180"/>
        <w:jc w:val="both"/>
        <w:rPr>
          <w:sz w:val="18"/>
          <w:lang w:val="en-GB"/>
        </w:rPr>
      </w:pPr>
    </w:p>
    <w:p w:rsidR="005A11A2" w:rsidRDefault="001F2871" w:rsidP="001F2871">
      <w:pPr>
        <w:spacing w:line="252" w:lineRule="auto"/>
        <w:ind w:left="180"/>
        <w:jc w:val="both"/>
        <w:rPr>
          <w:sz w:val="18"/>
          <w:lang w:val="en-GB"/>
        </w:rPr>
      </w:pPr>
      <w:r>
        <w:rPr>
          <w:noProof/>
          <w:sz w:val="18"/>
          <w:lang w:val="fr-FR" w:eastAsia="zh-CN"/>
        </w:rPr>
        <w:drawing>
          <wp:anchor distT="0" distB="0" distL="114300" distR="114300" simplePos="0" relativeHeight="251672576" behindDoc="0" locked="0" layoutInCell="1" allowOverlap="1">
            <wp:simplePos x="0" y="0"/>
            <wp:positionH relativeFrom="column">
              <wp:posOffset>40640</wp:posOffset>
            </wp:positionH>
            <wp:positionV relativeFrom="paragraph">
              <wp:posOffset>160655</wp:posOffset>
            </wp:positionV>
            <wp:extent cx="6430010" cy="3933825"/>
            <wp:effectExtent l="19050" t="0" r="8890" b="0"/>
            <wp:wrapSquare wrapText="bothSides"/>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6430010" cy="3933825"/>
                    </a:xfrm>
                    <a:prstGeom prst="rect">
                      <a:avLst/>
                    </a:prstGeom>
                    <a:noFill/>
                    <a:ln w="9525">
                      <a:noFill/>
                      <a:miter lim="800000"/>
                      <a:headEnd/>
                      <a:tailEnd/>
                    </a:ln>
                  </pic:spPr>
                </pic:pic>
              </a:graphicData>
            </a:graphic>
          </wp:anchor>
        </w:drawing>
      </w:r>
      <w:r w:rsidR="00073EEA" w:rsidRPr="00073EEA">
        <w:rPr>
          <w:noProof/>
          <w:sz w:val="18"/>
          <w:lang w:eastAsia="en-US"/>
        </w:rPr>
        <w:pict>
          <v:shape id="_x0000_s1081" type="#_x0000_t202" style="position:absolute;left:0;text-align:left;margin-left:290.85pt;margin-top:300.1pt;width:204pt;height:35.25pt;z-index:251667456;mso-position-horizontal-relative:text;mso-position-vertical-relative:text;mso-width-relative:margin;mso-height-relative:margin" filled="f" strokecolor="white [3212]" strokeweight="1.5pt">
            <v:textbox style="mso-next-textbox:#_x0000_s1081">
              <w:txbxContent>
                <w:p w:rsidR="00856114" w:rsidRPr="0051339B" w:rsidRDefault="00856114" w:rsidP="0051339B">
                  <w:pPr>
                    <w:pStyle w:val="PFCBulletedText2"/>
                    <w:spacing w:line="240" w:lineRule="auto"/>
                    <w:ind w:left="0" w:firstLine="0"/>
                    <w:jc w:val="left"/>
                    <w:rPr>
                      <w:b/>
                      <w:color w:val="FFFFFF" w:themeColor="background1"/>
                      <w:sz w:val="16"/>
                      <w:szCs w:val="16"/>
                    </w:rPr>
                  </w:pPr>
                  <w:r w:rsidRPr="0051339B">
                    <w:rPr>
                      <w:b/>
                      <w:color w:val="FFFFFF" w:themeColor="background1"/>
                      <w:sz w:val="16"/>
                      <w:szCs w:val="16"/>
                    </w:rPr>
                    <w:t xml:space="preserve">Figure </w:t>
                  </w:r>
                  <w:r>
                    <w:rPr>
                      <w:b/>
                      <w:color w:val="FFFFFF" w:themeColor="background1"/>
                      <w:sz w:val="16"/>
                      <w:szCs w:val="16"/>
                    </w:rPr>
                    <w:t>8</w:t>
                  </w:r>
                  <w:r w:rsidRPr="0051339B">
                    <w:rPr>
                      <w:b/>
                      <w:color w:val="FFFFFF" w:themeColor="background1"/>
                      <w:sz w:val="16"/>
                      <w:szCs w:val="16"/>
                    </w:rPr>
                    <w:t>: Map of Inter-Basin Trade: 2000 v 2012</w:t>
                  </w:r>
                </w:p>
                <w:p w:rsidR="00856114" w:rsidRPr="0051339B" w:rsidRDefault="00856114" w:rsidP="0051339B">
                  <w:pPr>
                    <w:rPr>
                      <w:color w:val="FFFFFF" w:themeColor="background1"/>
                      <w:sz w:val="16"/>
                      <w:szCs w:val="16"/>
                    </w:rPr>
                  </w:pPr>
                  <w:r w:rsidRPr="0051339B">
                    <w:rPr>
                      <w:i/>
                      <w:color w:val="FFFFFF" w:themeColor="background1"/>
                      <w:sz w:val="16"/>
                      <w:szCs w:val="16"/>
                    </w:rPr>
                    <w:t>Source: PFC Energy Global LNG Service</w:t>
                  </w:r>
                </w:p>
              </w:txbxContent>
            </v:textbox>
          </v:shape>
        </w:pict>
      </w:r>
      <w:r w:rsidR="00D94626" w:rsidRPr="00564DBB">
        <w:rPr>
          <w:sz w:val="18"/>
          <w:lang w:val="en-GB"/>
        </w:rPr>
        <w:t>7</w:t>
      </w:r>
      <w:r w:rsidR="005F509B">
        <w:rPr>
          <w:sz w:val="18"/>
          <w:lang w:val="en-GB"/>
        </w:rPr>
        <w:t>1</w:t>
      </w:r>
      <w:r w:rsidR="00D94626" w:rsidRPr="00564DBB">
        <w:rPr>
          <w:sz w:val="18"/>
          <w:lang w:val="en-GB"/>
        </w:rPr>
        <w:t>%</w:t>
      </w:r>
      <w:r w:rsidR="005A11A2">
        <w:rPr>
          <w:sz w:val="18"/>
          <w:lang w:val="en-GB"/>
        </w:rPr>
        <w:t xml:space="preserve"> </w:t>
      </w:r>
      <w:r w:rsidR="00D94626" w:rsidRPr="00564DBB">
        <w:rPr>
          <w:sz w:val="18"/>
          <w:lang w:val="en-GB"/>
        </w:rPr>
        <w:t xml:space="preserve">of the world’s LNG is consumed in the Asia-Pacific.  </w:t>
      </w:r>
    </w:p>
    <w:p w:rsidR="005A11A2" w:rsidRDefault="005A11A2" w:rsidP="005A11A2">
      <w:pPr>
        <w:spacing w:line="252" w:lineRule="auto"/>
        <w:ind w:left="180"/>
        <w:jc w:val="both"/>
        <w:rPr>
          <w:sz w:val="18"/>
          <w:lang w:val="en-GB"/>
        </w:rPr>
      </w:pPr>
    </w:p>
    <w:p w:rsidR="00D94626" w:rsidRDefault="005A11A2" w:rsidP="005A11A2">
      <w:pPr>
        <w:spacing w:line="252" w:lineRule="auto"/>
        <w:ind w:left="180"/>
        <w:jc w:val="both"/>
        <w:rPr>
          <w:sz w:val="18"/>
          <w:lang w:val="en-GB"/>
        </w:rPr>
      </w:pPr>
      <w:r>
        <w:rPr>
          <w:sz w:val="18"/>
          <w:lang w:val="en-GB"/>
        </w:rPr>
        <w:t>Th</w:t>
      </w:r>
      <w:r w:rsidR="00EB2A64">
        <w:rPr>
          <w:sz w:val="18"/>
          <w:lang w:val="en-GB"/>
        </w:rPr>
        <w:t xml:space="preserve">e Middle East to </w:t>
      </w:r>
      <w:r w:rsidR="00FD4426">
        <w:rPr>
          <w:sz w:val="18"/>
          <w:lang w:val="en-GB"/>
        </w:rPr>
        <w:t xml:space="preserve">Pacific </w:t>
      </w:r>
      <w:r w:rsidR="00EB2A64">
        <w:rPr>
          <w:sz w:val="18"/>
          <w:lang w:val="en-GB"/>
        </w:rPr>
        <w:t>trade flow has increase</w:t>
      </w:r>
      <w:r w:rsidR="00FD4426">
        <w:rPr>
          <w:sz w:val="18"/>
          <w:lang w:val="en-GB"/>
        </w:rPr>
        <w:t xml:space="preserve">d the most </w:t>
      </w:r>
      <w:proofErr w:type="gramStart"/>
      <w:r w:rsidR="00FD4426">
        <w:rPr>
          <w:sz w:val="18"/>
          <w:lang w:val="en-GB"/>
        </w:rPr>
        <w:t xml:space="preserve">between 2000 to 2012 growing from 15.3 MT to 54.3 MT. </w:t>
      </w:r>
      <w:r w:rsidR="00D94626" w:rsidRPr="00564DBB">
        <w:rPr>
          <w:sz w:val="18"/>
          <w:lang w:val="en-GB"/>
        </w:rPr>
        <w:t xml:space="preserve">Asian countries consumed </w:t>
      </w:r>
      <w:r w:rsidR="00E96746">
        <w:rPr>
          <w:sz w:val="18"/>
          <w:lang w:val="en-GB"/>
        </w:rPr>
        <w:t>166.6</w:t>
      </w:r>
      <w:r w:rsidR="00D94626" w:rsidRPr="00564DBB">
        <w:rPr>
          <w:sz w:val="18"/>
          <w:lang w:val="en-GB"/>
        </w:rPr>
        <w:t xml:space="preserve"> </w:t>
      </w:r>
      <w:r w:rsidR="00D94626">
        <w:rPr>
          <w:sz w:val="18"/>
          <w:lang w:val="en-GB"/>
        </w:rPr>
        <w:t>MT</w:t>
      </w:r>
      <w:r w:rsidR="00D94626" w:rsidRPr="00564DBB">
        <w:rPr>
          <w:sz w:val="18"/>
          <w:lang w:val="en-GB"/>
        </w:rPr>
        <w:t xml:space="preserve"> of LNG in 2012 or </w:t>
      </w:r>
      <w:r w:rsidR="00E96746">
        <w:rPr>
          <w:sz w:val="18"/>
          <w:lang w:val="en-GB"/>
        </w:rPr>
        <w:t>an 11</w:t>
      </w:r>
      <w:r w:rsidR="00D94626" w:rsidRPr="00564DBB">
        <w:rPr>
          <w:sz w:val="18"/>
          <w:lang w:val="en-GB"/>
        </w:rPr>
        <w:t>% increase from 2011</w:t>
      </w:r>
      <w:proofErr w:type="gramEnd"/>
      <w:r w:rsidR="00D94626" w:rsidRPr="00564DBB">
        <w:rPr>
          <w:sz w:val="18"/>
          <w:lang w:val="en-GB"/>
        </w:rPr>
        <w:t xml:space="preserve">.  This was largely </w:t>
      </w:r>
      <w:r>
        <w:rPr>
          <w:sz w:val="18"/>
          <w:lang w:val="en-GB"/>
        </w:rPr>
        <w:t>attributed</w:t>
      </w:r>
      <w:r w:rsidR="00D94626" w:rsidRPr="00564DBB">
        <w:rPr>
          <w:sz w:val="18"/>
          <w:lang w:val="en-GB"/>
        </w:rPr>
        <w:t xml:space="preserve"> to a re-distribution of cargoes: in 2012 Asia-Pacific </w:t>
      </w:r>
      <w:r w:rsidR="00EB2A64">
        <w:rPr>
          <w:sz w:val="18"/>
          <w:lang w:val="en-GB"/>
        </w:rPr>
        <w:t xml:space="preserve">export </w:t>
      </w:r>
      <w:r w:rsidR="00D94626" w:rsidRPr="00564DBB">
        <w:rPr>
          <w:sz w:val="18"/>
          <w:lang w:val="en-GB"/>
        </w:rPr>
        <w:t>projects accounted for 4</w:t>
      </w:r>
      <w:r w:rsidR="00E96746">
        <w:rPr>
          <w:sz w:val="18"/>
          <w:lang w:val="en-GB"/>
        </w:rPr>
        <w:t>9</w:t>
      </w:r>
      <w:r w:rsidR="00D94626" w:rsidRPr="00564DBB">
        <w:rPr>
          <w:sz w:val="18"/>
          <w:lang w:val="en-GB"/>
        </w:rPr>
        <w:t xml:space="preserve">% of the import volumes down from 54% in 2011 whereas MENA contributed 42% of Asian demand in 2012 </w:t>
      </w:r>
      <w:r>
        <w:rPr>
          <w:sz w:val="18"/>
          <w:lang w:val="en-GB"/>
        </w:rPr>
        <w:t xml:space="preserve">versus </w:t>
      </w:r>
      <w:r w:rsidR="00D94626" w:rsidRPr="00564DBB">
        <w:rPr>
          <w:sz w:val="18"/>
          <w:lang w:val="en-GB"/>
        </w:rPr>
        <w:t xml:space="preserve">37% in 2011.  </w:t>
      </w:r>
    </w:p>
    <w:p w:rsidR="00CB3914" w:rsidRDefault="00CB3914" w:rsidP="00FD4426">
      <w:pPr>
        <w:spacing w:line="252" w:lineRule="auto"/>
        <w:jc w:val="both"/>
        <w:rPr>
          <w:sz w:val="18"/>
          <w:lang w:val="en-GB"/>
        </w:rPr>
      </w:pPr>
    </w:p>
    <w:p w:rsidR="005A11A2" w:rsidRDefault="00D94626" w:rsidP="004F04B1">
      <w:pPr>
        <w:spacing w:line="252" w:lineRule="auto"/>
        <w:ind w:left="180"/>
        <w:jc w:val="both"/>
        <w:rPr>
          <w:sz w:val="18"/>
          <w:lang w:val="en-GB"/>
        </w:rPr>
      </w:pPr>
      <w:r w:rsidRPr="00542E7D">
        <w:rPr>
          <w:sz w:val="18"/>
          <w:lang w:val="en-GB"/>
        </w:rPr>
        <w:t xml:space="preserve">The increase in MENA volumes to Asia-Pacific was facilitated by the </w:t>
      </w:r>
      <w:proofErr w:type="spellStart"/>
      <w:r w:rsidRPr="00542E7D">
        <w:rPr>
          <w:sz w:val="18"/>
          <w:lang w:val="en-GB"/>
        </w:rPr>
        <w:t>divertibility</w:t>
      </w:r>
      <w:proofErr w:type="spellEnd"/>
      <w:r w:rsidRPr="00542E7D">
        <w:rPr>
          <w:sz w:val="18"/>
          <w:lang w:val="en-GB"/>
        </w:rPr>
        <w:t xml:space="preserve"> of many European </w:t>
      </w:r>
      <w:r w:rsidR="00E96746">
        <w:rPr>
          <w:sz w:val="18"/>
          <w:lang w:val="en-GB"/>
        </w:rPr>
        <w:t xml:space="preserve">supply combined with </w:t>
      </w:r>
      <w:r w:rsidRPr="00542E7D">
        <w:rPr>
          <w:sz w:val="18"/>
          <w:lang w:val="en-GB"/>
        </w:rPr>
        <w:t>the LNG price spread between Asia and Europe resulting in Qatari volumes re-directed eastward.</w:t>
      </w:r>
      <w:r w:rsidRPr="00564DBB">
        <w:rPr>
          <w:sz w:val="18"/>
          <w:lang w:val="en-GB"/>
        </w:rPr>
        <w:t xml:space="preserve">   </w:t>
      </w:r>
    </w:p>
    <w:p w:rsidR="005A11A2" w:rsidRDefault="005A11A2" w:rsidP="004F04B1">
      <w:pPr>
        <w:spacing w:line="252" w:lineRule="auto"/>
        <w:ind w:left="180"/>
        <w:jc w:val="both"/>
        <w:rPr>
          <w:sz w:val="18"/>
          <w:lang w:val="en-GB"/>
        </w:rPr>
      </w:pPr>
    </w:p>
    <w:p w:rsidR="004F04B1" w:rsidRDefault="00D94626" w:rsidP="004F04B1">
      <w:pPr>
        <w:spacing w:line="252" w:lineRule="auto"/>
        <w:ind w:left="180"/>
        <w:jc w:val="both"/>
        <w:rPr>
          <w:sz w:val="18"/>
          <w:lang w:val="en-GB"/>
        </w:rPr>
      </w:pPr>
      <w:r w:rsidRPr="00564DBB">
        <w:rPr>
          <w:sz w:val="18"/>
          <w:lang w:val="en-GB"/>
        </w:rPr>
        <w:t>Another re-direction in trade was volumes destined for the North American market that were diverted to South American markets.  In 2012, South America surpasse</w:t>
      </w:r>
      <w:r>
        <w:rPr>
          <w:sz w:val="18"/>
          <w:lang w:val="en-GB"/>
        </w:rPr>
        <w:t xml:space="preserve">d </w:t>
      </w:r>
      <w:r w:rsidRPr="00564DBB">
        <w:rPr>
          <w:sz w:val="18"/>
          <w:lang w:val="en-GB"/>
        </w:rPr>
        <w:t xml:space="preserve">North American imports </w:t>
      </w:r>
      <w:r>
        <w:rPr>
          <w:sz w:val="18"/>
          <w:lang w:val="en-GB"/>
        </w:rPr>
        <w:t>volumetrically</w:t>
      </w:r>
      <w:r w:rsidRPr="00564DBB">
        <w:rPr>
          <w:sz w:val="18"/>
          <w:lang w:val="en-GB"/>
        </w:rPr>
        <w:t xml:space="preserve"> for the first time.</w:t>
      </w:r>
      <w:r w:rsidR="00CB3914">
        <w:rPr>
          <w:sz w:val="18"/>
          <w:lang w:val="en-GB"/>
        </w:rPr>
        <w:t xml:space="preserve"> </w:t>
      </w:r>
      <w:r w:rsidRPr="00EA74D1">
        <w:rPr>
          <w:sz w:val="18"/>
          <w:lang w:val="en-GB"/>
        </w:rPr>
        <w:t xml:space="preserve">In 2012, strong Asian fundamentals and competition from coal in Europe resulted in systematic re-direction of Middle Eastern volumes from Europe to Asia.   The emergence of new LNG </w:t>
      </w:r>
      <w:r w:rsidRPr="00542E7D">
        <w:rPr>
          <w:sz w:val="18"/>
          <w:lang w:val="en-GB"/>
        </w:rPr>
        <w:t>plays in the US, Canada, and East Africa has the potential to alter the current supply position of the market in this decade or later.</w:t>
      </w:r>
      <w:r>
        <w:rPr>
          <w:sz w:val="18"/>
          <w:lang w:val="en-GB"/>
        </w:rPr>
        <w:t xml:space="preserve"> </w:t>
      </w:r>
    </w:p>
    <w:p w:rsidR="004F04B1" w:rsidRDefault="004F04B1" w:rsidP="004F04B1">
      <w:pPr>
        <w:spacing w:line="252" w:lineRule="auto"/>
        <w:ind w:left="180"/>
        <w:jc w:val="both"/>
        <w:rPr>
          <w:sz w:val="18"/>
          <w:lang w:val="en-GB"/>
        </w:rPr>
      </w:pPr>
    </w:p>
    <w:tbl>
      <w:tblPr>
        <w:tblW w:w="4673" w:type="dxa"/>
        <w:tblInd w:w="280" w:type="dxa"/>
        <w:tblCellMar>
          <w:left w:w="0" w:type="dxa"/>
          <w:right w:w="0" w:type="dxa"/>
        </w:tblCellMar>
        <w:tblLook w:val="04A0"/>
      </w:tblPr>
      <w:tblGrid>
        <w:gridCol w:w="1243"/>
        <w:gridCol w:w="490"/>
        <w:gridCol w:w="490"/>
        <w:gridCol w:w="490"/>
        <w:gridCol w:w="490"/>
        <w:gridCol w:w="490"/>
        <w:gridCol w:w="490"/>
        <w:gridCol w:w="490"/>
      </w:tblGrid>
      <w:tr w:rsidR="004F04B1" w:rsidRPr="002F4AC2" w:rsidTr="00B6427C">
        <w:trPr>
          <w:trHeight w:val="299"/>
        </w:trPr>
        <w:tc>
          <w:tcPr>
            <w:tcW w:w="1243" w:type="dxa"/>
            <w:tcBorders>
              <w:top w:val="single" w:sz="8" w:space="0" w:color="FFFFFF"/>
              <w:left w:val="single" w:sz="8" w:space="0" w:color="FFFFFF"/>
              <w:bottom w:val="single" w:sz="24" w:space="0" w:color="FFFFFF"/>
              <w:right w:val="single" w:sz="8" w:space="0" w:color="FFFFFF"/>
            </w:tcBorders>
            <w:shd w:val="clear" w:color="auto" w:fill="215D99"/>
            <w:tcMar>
              <w:top w:w="14" w:type="dxa"/>
              <w:left w:w="43" w:type="dxa"/>
              <w:bottom w:w="14" w:type="dxa"/>
              <w:right w:w="43" w:type="dxa"/>
            </w:tcMar>
            <w:vAlign w:val="center"/>
          </w:tcPr>
          <w:p w:rsidR="004F04B1" w:rsidRPr="002F4AC2" w:rsidRDefault="004F04B1" w:rsidP="00B6427C">
            <w:pPr>
              <w:ind w:left="183"/>
              <w:jc w:val="right"/>
              <w:rPr>
                <w:i/>
                <w:color w:val="FFFFFF"/>
                <w:sz w:val="18"/>
                <w:szCs w:val="18"/>
                <w:lang w:val="en-GB"/>
              </w:rPr>
            </w:pPr>
            <w:r w:rsidRPr="002F4AC2">
              <w:rPr>
                <w:bCs/>
                <w:i/>
                <w:color w:val="FFFFFF"/>
                <w:sz w:val="18"/>
                <w:szCs w:val="18"/>
                <w:lang w:val="en-GB"/>
              </w:rPr>
              <w:t>Importing Region</w:t>
            </w:r>
          </w:p>
        </w:tc>
        <w:tc>
          <w:tcPr>
            <w:tcW w:w="490" w:type="dxa"/>
            <w:vMerge w:val="restart"/>
            <w:tcBorders>
              <w:top w:val="single" w:sz="8" w:space="0" w:color="FFFFFF"/>
              <w:left w:val="single" w:sz="8" w:space="0" w:color="FFFFFF"/>
              <w:right w:val="single" w:sz="8" w:space="0" w:color="FFFFFF"/>
            </w:tcBorders>
            <w:shd w:val="clear" w:color="auto" w:fill="215D99"/>
            <w:tcMar>
              <w:top w:w="14" w:type="dxa"/>
              <w:left w:w="0" w:type="dxa"/>
              <w:bottom w:w="14" w:type="dxa"/>
              <w:right w:w="0" w:type="dxa"/>
            </w:tcMar>
            <w:textDirection w:val="btLr"/>
            <w:vAlign w:val="center"/>
          </w:tcPr>
          <w:p w:rsidR="004F04B1" w:rsidRPr="002F4AC2" w:rsidRDefault="004F04B1" w:rsidP="00B6427C">
            <w:pPr>
              <w:ind w:left="113" w:right="113"/>
              <w:jc w:val="center"/>
              <w:rPr>
                <w:color w:val="FFFFFF"/>
                <w:sz w:val="18"/>
                <w:szCs w:val="18"/>
                <w:lang w:val="en-GB"/>
              </w:rPr>
            </w:pPr>
            <w:r w:rsidRPr="002F4AC2">
              <w:rPr>
                <w:bCs/>
                <w:color w:val="FFFFFF"/>
                <w:sz w:val="18"/>
                <w:szCs w:val="18"/>
                <w:lang w:val="en-GB"/>
              </w:rPr>
              <w:t>Europe</w:t>
            </w:r>
          </w:p>
        </w:tc>
        <w:tc>
          <w:tcPr>
            <w:tcW w:w="490" w:type="dxa"/>
            <w:vMerge w:val="restart"/>
            <w:tcBorders>
              <w:top w:val="single" w:sz="8" w:space="0" w:color="FFFFFF"/>
              <w:left w:val="single" w:sz="8" w:space="0" w:color="FFFFFF"/>
              <w:right w:val="single" w:sz="8" w:space="0" w:color="FFFFFF"/>
            </w:tcBorders>
            <w:shd w:val="clear" w:color="auto" w:fill="215D99"/>
            <w:textDirection w:val="btLr"/>
            <w:vAlign w:val="center"/>
          </w:tcPr>
          <w:p w:rsidR="004F04B1" w:rsidRPr="002F4AC2" w:rsidRDefault="004F04B1" w:rsidP="00B6427C">
            <w:pPr>
              <w:ind w:left="113" w:right="113"/>
              <w:jc w:val="center"/>
              <w:rPr>
                <w:bCs/>
                <w:color w:val="FFFFFF"/>
                <w:sz w:val="18"/>
                <w:szCs w:val="18"/>
                <w:lang w:val="en-GB"/>
              </w:rPr>
            </w:pPr>
            <w:r>
              <w:rPr>
                <w:bCs/>
                <w:color w:val="FFFFFF"/>
                <w:sz w:val="18"/>
                <w:szCs w:val="18"/>
                <w:lang w:val="en-GB"/>
              </w:rPr>
              <w:t xml:space="preserve">Asia </w:t>
            </w:r>
            <w:r w:rsidRPr="002F4AC2">
              <w:rPr>
                <w:bCs/>
                <w:color w:val="FFFFFF"/>
                <w:sz w:val="18"/>
                <w:szCs w:val="18"/>
                <w:lang w:val="en-GB"/>
              </w:rPr>
              <w:t>Pacific</w:t>
            </w:r>
          </w:p>
        </w:tc>
        <w:tc>
          <w:tcPr>
            <w:tcW w:w="490" w:type="dxa"/>
            <w:vMerge w:val="restart"/>
            <w:tcBorders>
              <w:top w:val="single" w:sz="8" w:space="0" w:color="FFFFFF"/>
              <w:left w:val="single" w:sz="8" w:space="0" w:color="FFFFFF"/>
              <w:right w:val="single" w:sz="8" w:space="0" w:color="FFFFFF"/>
            </w:tcBorders>
            <w:shd w:val="clear" w:color="auto" w:fill="215D99"/>
            <w:textDirection w:val="btLr"/>
            <w:vAlign w:val="center"/>
          </w:tcPr>
          <w:p w:rsidR="004F04B1" w:rsidRPr="002F4AC2" w:rsidRDefault="004F04B1" w:rsidP="00B6427C">
            <w:pPr>
              <w:ind w:left="113" w:right="113"/>
              <w:jc w:val="center"/>
              <w:rPr>
                <w:bCs/>
                <w:color w:val="FFFFFF"/>
                <w:sz w:val="18"/>
                <w:szCs w:val="18"/>
                <w:lang w:val="en-GB"/>
              </w:rPr>
            </w:pPr>
            <w:r w:rsidRPr="002F4AC2">
              <w:rPr>
                <w:bCs/>
                <w:color w:val="FFFFFF"/>
                <w:sz w:val="18"/>
                <w:szCs w:val="18"/>
                <w:lang w:val="en-GB"/>
              </w:rPr>
              <w:t>Middle East</w:t>
            </w:r>
          </w:p>
        </w:tc>
        <w:tc>
          <w:tcPr>
            <w:tcW w:w="490" w:type="dxa"/>
            <w:vMerge w:val="restart"/>
            <w:tcBorders>
              <w:top w:val="single" w:sz="8" w:space="0" w:color="FFFFFF"/>
              <w:left w:val="single" w:sz="8" w:space="0" w:color="FFFFFF"/>
              <w:right w:val="single" w:sz="8" w:space="0" w:color="FFFFFF"/>
            </w:tcBorders>
            <w:shd w:val="clear" w:color="auto" w:fill="215D99"/>
            <w:textDirection w:val="btLr"/>
            <w:vAlign w:val="center"/>
          </w:tcPr>
          <w:p w:rsidR="004F04B1" w:rsidRPr="002F4AC2" w:rsidRDefault="004F04B1" w:rsidP="00B6427C">
            <w:pPr>
              <w:ind w:left="113" w:right="113"/>
              <w:jc w:val="center"/>
              <w:rPr>
                <w:bCs/>
                <w:color w:val="FFFFFF"/>
                <w:sz w:val="18"/>
                <w:szCs w:val="18"/>
                <w:lang w:val="en-GB"/>
              </w:rPr>
            </w:pPr>
            <w:r>
              <w:rPr>
                <w:bCs/>
                <w:color w:val="FFFFFF"/>
                <w:sz w:val="18"/>
                <w:szCs w:val="18"/>
                <w:lang w:val="en-GB"/>
              </w:rPr>
              <w:t>North America</w:t>
            </w:r>
          </w:p>
        </w:tc>
        <w:tc>
          <w:tcPr>
            <w:tcW w:w="490" w:type="dxa"/>
            <w:vMerge w:val="restart"/>
            <w:tcBorders>
              <w:top w:val="single" w:sz="8" w:space="0" w:color="FFFFFF"/>
              <w:left w:val="single" w:sz="8" w:space="0" w:color="FFFFFF"/>
              <w:right w:val="single" w:sz="8" w:space="0" w:color="FFFFFF"/>
            </w:tcBorders>
            <w:shd w:val="clear" w:color="auto" w:fill="215D99"/>
            <w:textDirection w:val="btLr"/>
            <w:vAlign w:val="center"/>
          </w:tcPr>
          <w:p w:rsidR="004F04B1" w:rsidRPr="002F4AC2" w:rsidRDefault="004F04B1" w:rsidP="00B6427C">
            <w:pPr>
              <w:ind w:left="113" w:right="113"/>
              <w:jc w:val="center"/>
              <w:rPr>
                <w:bCs/>
                <w:color w:val="FFFFFF"/>
                <w:sz w:val="18"/>
                <w:szCs w:val="18"/>
                <w:lang w:val="en-GB"/>
              </w:rPr>
            </w:pPr>
            <w:r>
              <w:rPr>
                <w:bCs/>
                <w:color w:val="FFFFFF"/>
                <w:sz w:val="18"/>
                <w:szCs w:val="18"/>
                <w:lang w:val="en-GB"/>
              </w:rPr>
              <w:t>South America</w:t>
            </w:r>
          </w:p>
        </w:tc>
        <w:tc>
          <w:tcPr>
            <w:tcW w:w="490" w:type="dxa"/>
            <w:vMerge w:val="restart"/>
            <w:tcBorders>
              <w:top w:val="single" w:sz="8" w:space="0" w:color="FFFFFF"/>
              <w:left w:val="single" w:sz="8" w:space="0" w:color="FFFFFF"/>
              <w:right w:val="single" w:sz="8" w:space="0" w:color="FFFFFF"/>
            </w:tcBorders>
            <w:shd w:val="clear" w:color="auto" w:fill="095C99" w:themeFill="accent5"/>
            <w:textDirection w:val="btLr"/>
            <w:vAlign w:val="center"/>
          </w:tcPr>
          <w:p w:rsidR="004F04B1" w:rsidRPr="002F4AC2" w:rsidRDefault="004F04B1" w:rsidP="00B6427C">
            <w:pPr>
              <w:ind w:left="113" w:right="113"/>
              <w:jc w:val="center"/>
              <w:rPr>
                <w:b/>
                <w:bCs/>
                <w:color w:val="FFFFFF"/>
                <w:sz w:val="18"/>
                <w:szCs w:val="18"/>
                <w:lang w:val="en-GB"/>
              </w:rPr>
            </w:pPr>
            <w:r>
              <w:rPr>
                <w:bCs/>
                <w:color w:val="FFFFFF"/>
                <w:sz w:val="18"/>
                <w:szCs w:val="18"/>
                <w:lang w:val="en-GB"/>
              </w:rPr>
              <w:t>Re-exports</w:t>
            </w:r>
          </w:p>
        </w:tc>
        <w:tc>
          <w:tcPr>
            <w:tcW w:w="490" w:type="dxa"/>
            <w:vMerge w:val="restart"/>
            <w:tcBorders>
              <w:top w:val="single" w:sz="8" w:space="0" w:color="FFFFFF"/>
              <w:left w:val="single" w:sz="8" w:space="0" w:color="FFFFFF"/>
              <w:right w:val="single" w:sz="8" w:space="0" w:color="FFFFFF"/>
            </w:tcBorders>
            <w:shd w:val="clear" w:color="auto" w:fill="215D99"/>
            <w:textDirection w:val="btLr"/>
            <w:vAlign w:val="center"/>
          </w:tcPr>
          <w:p w:rsidR="004F04B1" w:rsidRPr="002F4AC2" w:rsidRDefault="004F04B1" w:rsidP="00B6427C">
            <w:pPr>
              <w:ind w:left="113" w:right="113"/>
              <w:jc w:val="center"/>
              <w:rPr>
                <w:b/>
                <w:bCs/>
                <w:color w:val="FFFFFF"/>
                <w:sz w:val="18"/>
                <w:szCs w:val="18"/>
                <w:lang w:val="en-GB"/>
              </w:rPr>
            </w:pPr>
            <w:r w:rsidRPr="002F4AC2">
              <w:rPr>
                <w:b/>
                <w:bCs/>
                <w:color w:val="FFFFFF"/>
                <w:sz w:val="18"/>
                <w:szCs w:val="18"/>
                <w:lang w:val="en-GB"/>
              </w:rPr>
              <w:t>Total</w:t>
            </w:r>
          </w:p>
        </w:tc>
      </w:tr>
      <w:tr w:rsidR="004F04B1" w:rsidRPr="002F4AC2" w:rsidTr="00B6427C">
        <w:trPr>
          <w:trHeight w:val="299"/>
        </w:trPr>
        <w:tc>
          <w:tcPr>
            <w:tcW w:w="1243" w:type="dxa"/>
            <w:tcBorders>
              <w:top w:val="single" w:sz="8" w:space="0" w:color="FFFFFF"/>
              <w:left w:val="single" w:sz="8" w:space="0" w:color="FFFFFF"/>
              <w:bottom w:val="single" w:sz="24" w:space="0" w:color="FFFFFF"/>
              <w:right w:val="single" w:sz="8" w:space="0" w:color="FFFFFF"/>
            </w:tcBorders>
            <w:shd w:val="clear" w:color="auto" w:fill="17A8DB"/>
            <w:tcMar>
              <w:top w:w="14" w:type="dxa"/>
              <w:left w:w="43" w:type="dxa"/>
              <w:bottom w:w="14" w:type="dxa"/>
              <w:right w:w="43" w:type="dxa"/>
            </w:tcMar>
            <w:vAlign w:val="center"/>
          </w:tcPr>
          <w:p w:rsidR="004F04B1" w:rsidRPr="00E305C7" w:rsidRDefault="004F04B1" w:rsidP="00B6427C">
            <w:pPr>
              <w:ind w:left="3"/>
              <w:rPr>
                <w:bCs/>
                <w:i/>
                <w:sz w:val="18"/>
                <w:szCs w:val="18"/>
                <w:lang w:val="en-GB"/>
              </w:rPr>
            </w:pPr>
            <w:r w:rsidRPr="00E305C7">
              <w:rPr>
                <w:bCs/>
                <w:i/>
                <w:sz w:val="18"/>
                <w:szCs w:val="18"/>
                <w:lang w:val="en-GB"/>
              </w:rPr>
              <w:t xml:space="preserve">Exporting Region </w:t>
            </w:r>
          </w:p>
        </w:tc>
        <w:tc>
          <w:tcPr>
            <w:tcW w:w="490" w:type="dxa"/>
            <w:vMerge/>
            <w:tcBorders>
              <w:left w:val="single" w:sz="8" w:space="0" w:color="FFFFFF"/>
              <w:bottom w:val="single" w:sz="24" w:space="0" w:color="FFFFFF"/>
              <w:right w:val="single" w:sz="8" w:space="0" w:color="FFFFFF"/>
            </w:tcBorders>
            <w:shd w:val="clear" w:color="auto" w:fill="003399"/>
            <w:tcMar>
              <w:top w:w="14" w:type="dxa"/>
              <w:left w:w="0" w:type="dxa"/>
              <w:bottom w:w="14" w:type="dxa"/>
              <w:right w:w="0" w:type="dxa"/>
            </w:tcMar>
            <w:vAlign w:val="center"/>
          </w:tcPr>
          <w:p w:rsidR="004F04B1" w:rsidRPr="002F4AC2" w:rsidRDefault="004F04B1" w:rsidP="00B6427C">
            <w:pPr>
              <w:jc w:val="center"/>
              <w:rPr>
                <w:bCs/>
                <w:color w:val="FFFFFF"/>
                <w:sz w:val="18"/>
                <w:szCs w:val="18"/>
                <w:lang w:val="en-GB"/>
              </w:rPr>
            </w:pPr>
          </w:p>
        </w:tc>
        <w:tc>
          <w:tcPr>
            <w:tcW w:w="490" w:type="dxa"/>
            <w:vMerge/>
            <w:tcBorders>
              <w:left w:val="single" w:sz="8" w:space="0" w:color="FFFFFF"/>
              <w:bottom w:val="single" w:sz="24" w:space="0" w:color="FFFFFF"/>
              <w:right w:val="single" w:sz="8" w:space="0" w:color="FFFFFF"/>
            </w:tcBorders>
            <w:shd w:val="clear" w:color="auto" w:fill="003399"/>
            <w:vAlign w:val="center"/>
          </w:tcPr>
          <w:p w:rsidR="004F04B1" w:rsidRPr="002F4AC2" w:rsidRDefault="004F04B1" w:rsidP="00B6427C">
            <w:pPr>
              <w:jc w:val="center"/>
              <w:rPr>
                <w:bCs/>
                <w:color w:val="FFFFFF"/>
                <w:sz w:val="18"/>
                <w:szCs w:val="18"/>
                <w:lang w:val="en-GB"/>
              </w:rPr>
            </w:pPr>
          </w:p>
        </w:tc>
        <w:tc>
          <w:tcPr>
            <w:tcW w:w="490" w:type="dxa"/>
            <w:vMerge/>
            <w:tcBorders>
              <w:left w:val="single" w:sz="8" w:space="0" w:color="FFFFFF"/>
              <w:bottom w:val="single" w:sz="24" w:space="0" w:color="FFFFFF"/>
              <w:right w:val="single" w:sz="8" w:space="0" w:color="FFFFFF"/>
            </w:tcBorders>
            <w:shd w:val="clear" w:color="auto" w:fill="003399"/>
            <w:vAlign w:val="center"/>
          </w:tcPr>
          <w:p w:rsidR="004F04B1" w:rsidRPr="002F4AC2" w:rsidRDefault="004F04B1" w:rsidP="00B6427C">
            <w:pPr>
              <w:jc w:val="center"/>
              <w:rPr>
                <w:bCs/>
                <w:color w:val="FFFFFF"/>
                <w:sz w:val="18"/>
                <w:szCs w:val="18"/>
                <w:lang w:val="en-GB"/>
              </w:rPr>
            </w:pPr>
          </w:p>
        </w:tc>
        <w:tc>
          <w:tcPr>
            <w:tcW w:w="490" w:type="dxa"/>
            <w:vMerge/>
            <w:tcBorders>
              <w:left w:val="single" w:sz="8" w:space="0" w:color="FFFFFF"/>
              <w:bottom w:val="single" w:sz="24" w:space="0" w:color="FFFFFF"/>
              <w:right w:val="single" w:sz="8" w:space="0" w:color="FFFFFF"/>
            </w:tcBorders>
            <w:shd w:val="clear" w:color="auto" w:fill="003399"/>
            <w:vAlign w:val="center"/>
          </w:tcPr>
          <w:p w:rsidR="004F04B1" w:rsidRPr="002F4AC2" w:rsidRDefault="004F04B1" w:rsidP="00B6427C">
            <w:pPr>
              <w:jc w:val="center"/>
              <w:rPr>
                <w:bCs/>
                <w:color w:val="FFFFFF"/>
                <w:sz w:val="18"/>
                <w:szCs w:val="18"/>
                <w:lang w:val="en-GB"/>
              </w:rPr>
            </w:pPr>
          </w:p>
        </w:tc>
        <w:tc>
          <w:tcPr>
            <w:tcW w:w="490" w:type="dxa"/>
            <w:vMerge/>
            <w:tcBorders>
              <w:left w:val="single" w:sz="8" w:space="0" w:color="FFFFFF"/>
              <w:bottom w:val="single" w:sz="24" w:space="0" w:color="FFFFFF"/>
              <w:right w:val="single" w:sz="8" w:space="0" w:color="FFFFFF"/>
            </w:tcBorders>
            <w:shd w:val="clear" w:color="auto" w:fill="003399"/>
            <w:vAlign w:val="center"/>
          </w:tcPr>
          <w:p w:rsidR="004F04B1" w:rsidRPr="002F4AC2" w:rsidRDefault="004F04B1" w:rsidP="00B6427C">
            <w:pPr>
              <w:jc w:val="center"/>
              <w:rPr>
                <w:bCs/>
                <w:color w:val="FFFFFF"/>
                <w:sz w:val="18"/>
                <w:szCs w:val="18"/>
                <w:lang w:val="en-GB"/>
              </w:rPr>
            </w:pPr>
          </w:p>
        </w:tc>
        <w:tc>
          <w:tcPr>
            <w:tcW w:w="490" w:type="dxa"/>
            <w:vMerge/>
            <w:tcBorders>
              <w:left w:val="single" w:sz="8" w:space="0" w:color="FFFFFF"/>
              <w:bottom w:val="single" w:sz="24" w:space="0" w:color="FFFFFF"/>
              <w:right w:val="single" w:sz="8" w:space="0" w:color="FFFFFF"/>
            </w:tcBorders>
            <w:shd w:val="clear" w:color="auto" w:fill="095C99" w:themeFill="accent5"/>
          </w:tcPr>
          <w:p w:rsidR="004F04B1" w:rsidRPr="002F4AC2" w:rsidRDefault="004F04B1" w:rsidP="00B6427C">
            <w:pPr>
              <w:jc w:val="center"/>
              <w:rPr>
                <w:b/>
                <w:bCs/>
                <w:color w:val="FFFFFF"/>
                <w:sz w:val="18"/>
                <w:szCs w:val="18"/>
                <w:lang w:val="en-GB"/>
              </w:rPr>
            </w:pPr>
          </w:p>
        </w:tc>
        <w:tc>
          <w:tcPr>
            <w:tcW w:w="490" w:type="dxa"/>
            <w:vMerge/>
            <w:tcBorders>
              <w:left w:val="single" w:sz="8" w:space="0" w:color="FFFFFF"/>
              <w:bottom w:val="single" w:sz="24" w:space="0" w:color="FFFFFF"/>
              <w:right w:val="single" w:sz="8" w:space="0" w:color="FFFFFF"/>
            </w:tcBorders>
            <w:shd w:val="clear" w:color="auto" w:fill="003399"/>
          </w:tcPr>
          <w:p w:rsidR="004F04B1" w:rsidRPr="002F4AC2" w:rsidRDefault="004F04B1" w:rsidP="00B6427C">
            <w:pPr>
              <w:jc w:val="center"/>
              <w:rPr>
                <w:b/>
                <w:bCs/>
                <w:color w:val="FFFFFF"/>
                <w:sz w:val="18"/>
                <w:szCs w:val="18"/>
                <w:lang w:val="en-GB"/>
              </w:rPr>
            </w:pPr>
          </w:p>
        </w:tc>
      </w:tr>
      <w:tr w:rsidR="004F04B1" w:rsidRPr="002F4AC2" w:rsidTr="00B6427C">
        <w:trPr>
          <w:trHeight w:val="244"/>
        </w:trPr>
        <w:tc>
          <w:tcPr>
            <w:tcW w:w="1243" w:type="dxa"/>
            <w:tcBorders>
              <w:top w:val="single" w:sz="24" w:space="0" w:color="FFFFFF"/>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sidRPr="00E305C7">
              <w:rPr>
                <w:sz w:val="18"/>
                <w:szCs w:val="18"/>
                <w:lang w:val="en-GB"/>
              </w:rPr>
              <w:t>Africa</w:t>
            </w:r>
          </w:p>
        </w:tc>
        <w:tc>
          <w:tcPr>
            <w:tcW w:w="490" w:type="dxa"/>
            <w:tcBorders>
              <w:top w:val="single" w:sz="24" w:space="0" w:color="FFFFFF"/>
              <w:left w:val="single" w:sz="8" w:space="0" w:color="FFFFFF"/>
              <w:bottom w:val="single" w:sz="8" w:space="0" w:color="FFFFFF"/>
              <w:right w:val="single" w:sz="8" w:space="0" w:color="FFFFFF"/>
            </w:tcBorders>
            <w:shd w:val="clear" w:color="auto" w:fill="9ADCDC"/>
            <w:tcMar>
              <w:top w:w="14" w:type="dxa"/>
              <w:left w:w="0" w:type="dxa"/>
              <w:bottom w:w="14" w:type="dxa"/>
              <w:right w:w="0" w:type="dxa"/>
            </w:tcMar>
            <w:vAlign w:val="center"/>
          </w:tcPr>
          <w:p w:rsidR="004F04B1" w:rsidRDefault="004F04B1" w:rsidP="00B6427C">
            <w:pPr>
              <w:jc w:val="center"/>
              <w:rPr>
                <w:rFonts w:cs="Arial"/>
                <w:color w:val="000000"/>
                <w:sz w:val="18"/>
                <w:szCs w:val="18"/>
              </w:rPr>
            </w:pPr>
            <w:r>
              <w:rPr>
                <w:rFonts w:cs="Arial"/>
                <w:color w:val="000000"/>
                <w:sz w:val="18"/>
                <w:szCs w:val="18"/>
              </w:rPr>
              <w:t>8.7</w:t>
            </w:r>
          </w:p>
        </w:tc>
        <w:tc>
          <w:tcPr>
            <w:tcW w:w="490" w:type="dxa"/>
            <w:tcBorders>
              <w:top w:val="single" w:sz="24"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12.9</w:t>
            </w:r>
          </w:p>
        </w:tc>
        <w:tc>
          <w:tcPr>
            <w:tcW w:w="490" w:type="dxa"/>
            <w:tcBorders>
              <w:top w:val="single" w:sz="24"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0.6</w:t>
            </w:r>
          </w:p>
        </w:tc>
        <w:tc>
          <w:tcPr>
            <w:tcW w:w="490" w:type="dxa"/>
            <w:tcBorders>
              <w:top w:val="single" w:sz="24"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0.8</w:t>
            </w:r>
          </w:p>
        </w:tc>
        <w:tc>
          <w:tcPr>
            <w:tcW w:w="490" w:type="dxa"/>
            <w:tcBorders>
              <w:top w:val="single" w:sz="24"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0.6</w:t>
            </w:r>
          </w:p>
        </w:tc>
        <w:tc>
          <w:tcPr>
            <w:tcW w:w="490" w:type="dxa"/>
            <w:tcBorders>
              <w:top w:val="single" w:sz="24"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24"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b/>
                <w:bCs/>
                <w:sz w:val="18"/>
                <w:szCs w:val="18"/>
              </w:rPr>
            </w:pPr>
            <w:r>
              <w:rPr>
                <w:rFonts w:cs="Arial"/>
                <w:b/>
                <w:bCs/>
                <w:sz w:val="18"/>
                <w:szCs w:val="18"/>
              </w:rPr>
              <w:t>23.7</w:t>
            </w:r>
          </w:p>
        </w:tc>
      </w:tr>
      <w:tr w:rsidR="004F04B1" w:rsidRPr="002F4AC2" w:rsidTr="00B6427C">
        <w:trPr>
          <w:trHeight w:val="244"/>
        </w:trPr>
        <w:tc>
          <w:tcPr>
            <w:tcW w:w="1243" w:type="dxa"/>
            <w:tcBorders>
              <w:top w:val="single" w:sz="8" w:space="0" w:color="FFFFFF"/>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sidRPr="00E305C7">
              <w:rPr>
                <w:sz w:val="18"/>
                <w:szCs w:val="18"/>
                <w:lang w:val="en-GB"/>
              </w:rPr>
              <w:t>Asia-Pacific</w:t>
            </w:r>
          </w:p>
        </w:tc>
        <w:tc>
          <w:tcPr>
            <w:tcW w:w="490" w:type="dxa"/>
            <w:tcBorders>
              <w:top w:val="single" w:sz="8" w:space="0" w:color="FFFFFF"/>
              <w:left w:val="single" w:sz="8" w:space="0" w:color="FFFFFF"/>
              <w:bottom w:val="single" w:sz="8" w:space="0" w:color="FFFFFF"/>
              <w:right w:val="single" w:sz="8" w:space="0" w:color="FFFFFF"/>
            </w:tcBorders>
            <w:shd w:val="clear" w:color="auto" w:fill="17A8DB"/>
            <w:tcMar>
              <w:top w:w="14" w:type="dxa"/>
              <w:left w:w="0" w:type="dxa"/>
              <w:bottom w:w="14" w:type="dxa"/>
              <w:right w:w="0" w:type="dxa"/>
            </w:tcMar>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79.8</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0.1</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1.1</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sz w:val="18"/>
                <w:szCs w:val="18"/>
              </w:rPr>
            </w:pPr>
            <w:r>
              <w:rPr>
                <w:rFonts w:cs="Arial"/>
                <w:b/>
                <w:bCs/>
                <w:sz w:val="18"/>
                <w:szCs w:val="18"/>
              </w:rPr>
              <w:t>81.0</w:t>
            </w:r>
          </w:p>
        </w:tc>
      </w:tr>
      <w:tr w:rsidR="004F04B1" w:rsidRPr="002F4AC2" w:rsidTr="00B6427C">
        <w:trPr>
          <w:trHeight w:val="244"/>
        </w:trPr>
        <w:tc>
          <w:tcPr>
            <w:tcW w:w="1243" w:type="dxa"/>
            <w:tcBorders>
              <w:top w:val="single" w:sz="8" w:space="0" w:color="FFFFFF"/>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sidRPr="00E305C7">
              <w:rPr>
                <w:sz w:val="18"/>
                <w:szCs w:val="18"/>
                <w:lang w:val="en-GB"/>
              </w:rPr>
              <w:t>Europe</w:t>
            </w:r>
          </w:p>
        </w:tc>
        <w:tc>
          <w:tcPr>
            <w:tcW w:w="490" w:type="dxa"/>
            <w:tcBorders>
              <w:top w:val="single" w:sz="8" w:space="0" w:color="FFFFFF"/>
              <w:left w:val="single" w:sz="8" w:space="0" w:color="FFFFFF"/>
              <w:bottom w:val="single" w:sz="8" w:space="0" w:color="FFFFFF"/>
              <w:right w:val="single" w:sz="8" w:space="0" w:color="FFFFFF"/>
            </w:tcBorders>
            <w:shd w:val="clear" w:color="auto" w:fill="9ADCDC"/>
            <w:tcMar>
              <w:top w:w="14" w:type="dxa"/>
              <w:left w:w="0" w:type="dxa"/>
              <w:bottom w:w="14" w:type="dxa"/>
              <w:right w:w="0" w:type="dxa"/>
            </w:tcMar>
            <w:vAlign w:val="center"/>
          </w:tcPr>
          <w:p w:rsidR="004F04B1" w:rsidRDefault="004F04B1" w:rsidP="00B6427C">
            <w:pPr>
              <w:jc w:val="center"/>
              <w:rPr>
                <w:rFonts w:cs="Arial"/>
                <w:color w:val="000000"/>
                <w:sz w:val="18"/>
                <w:szCs w:val="18"/>
              </w:rPr>
            </w:pPr>
            <w:r>
              <w:rPr>
                <w:rFonts w:cs="Arial"/>
                <w:color w:val="000000"/>
                <w:sz w:val="18"/>
                <w:szCs w:val="18"/>
              </w:rPr>
              <w:t>2.3</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0.5</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0.1</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0.2</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0.4</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(2.8)</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b/>
                <w:bCs/>
                <w:sz w:val="18"/>
                <w:szCs w:val="18"/>
              </w:rPr>
            </w:pPr>
            <w:r>
              <w:rPr>
                <w:rFonts w:cs="Arial"/>
                <w:b/>
                <w:bCs/>
                <w:sz w:val="18"/>
                <w:szCs w:val="18"/>
              </w:rPr>
              <w:t>0.7</w:t>
            </w:r>
          </w:p>
        </w:tc>
      </w:tr>
      <w:tr w:rsidR="004F04B1" w:rsidRPr="002F4AC2" w:rsidTr="00B6427C">
        <w:trPr>
          <w:trHeight w:val="244"/>
        </w:trPr>
        <w:tc>
          <w:tcPr>
            <w:tcW w:w="1243" w:type="dxa"/>
            <w:tcBorders>
              <w:top w:val="single" w:sz="8" w:space="0" w:color="FFFFFF"/>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sidRPr="00E305C7">
              <w:rPr>
                <w:sz w:val="18"/>
                <w:szCs w:val="18"/>
                <w:lang w:val="en-GB"/>
              </w:rPr>
              <w:t>MENA</w:t>
            </w:r>
          </w:p>
        </w:tc>
        <w:tc>
          <w:tcPr>
            <w:tcW w:w="490" w:type="dxa"/>
            <w:tcBorders>
              <w:top w:val="single" w:sz="8" w:space="0" w:color="FFFFFF"/>
              <w:left w:val="single" w:sz="8" w:space="0" w:color="FFFFFF"/>
              <w:bottom w:val="single" w:sz="8" w:space="0" w:color="FFFFFF"/>
              <w:right w:val="single" w:sz="8" w:space="0" w:color="FFFFFF"/>
            </w:tcBorders>
            <w:shd w:val="clear" w:color="auto" w:fill="17A8DB"/>
            <w:tcMar>
              <w:top w:w="14" w:type="dxa"/>
              <w:left w:w="0" w:type="dxa"/>
              <w:bottom w:w="14" w:type="dxa"/>
              <w:right w:w="0" w:type="dxa"/>
            </w:tcMar>
            <w:vAlign w:val="center"/>
          </w:tcPr>
          <w:p w:rsidR="004F04B1" w:rsidRDefault="004F04B1" w:rsidP="00B6427C">
            <w:pPr>
              <w:jc w:val="center"/>
              <w:rPr>
                <w:rFonts w:cs="Arial"/>
                <w:color w:val="000000"/>
                <w:sz w:val="18"/>
                <w:szCs w:val="18"/>
              </w:rPr>
            </w:pPr>
            <w:r>
              <w:rPr>
                <w:rFonts w:cs="Arial"/>
                <w:color w:val="000000"/>
                <w:sz w:val="18"/>
                <w:szCs w:val="18"/>
              </w:rPr>
              <w:t>35.3</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69.7</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2.3</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3.4</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1.6</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sz w:val="18"/>
                <w:szCs w:val="18"/>
              </w:rPr>
            </w:pPr>
            <w:r>
              <w:rPr>
                <w:rFonts w:cs="Arial"/>
                <w:b/>
                <w:bCs/>
                <w:sz w:val="18"/>
                <w:szCs w:val="18"/>
              </w:rPr>
              <w:t>112.3</w:t>
            </w:r>
          </w:p>
        </w:tc>
      </w:tr>
      <w:tr w:rsidR="004F04B1" w:rsidRPr="002F4AC2" w:rsidTr="00B6427C">
        <w:trPr>
          <w:trHeight w:val="244"/>
        </w:trPr>
        <w:tc>
          <w:tcPr>
            <w:tcW w:w="1243" w:type="dxa"/>
            <w:tcBorders>
              <w:top w:val="single" w:sz="8" w:space="0" w:color="FFFFFF"/>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sidRPr="00E305C7">
              <w:rPr>
                <w:sz w:val="18"/>
                <w:szCs w:val="18"/>
                <w:lang w:val="en-GB"/>
              </w:rPr>
              <w:t>N</w:t>
            </w:r>
            <w:r>
              <w:rPr>
                <w:sz w:val="18"/>
                <w:szCs w:val="18"/>
                <w:lang w:val="en-GB"/>
              </w:rPr>
              <w:t xml:space="preserve">. </w:t>
            </w:r>
            <w:r w:rsidRPr="00E305C7">
              <w:rPr>
                <w:sz w:val="18"/>
                <w:szCs w:val="18"/>
                <w:lang w:val="en-GB"/>
              </w:rPr>
              <w:t>America</w:t>
            </w:r>
          </w:p>
        </w:tc>
        <w:tc>
          <w:tcPr>
            <w:tcW w:w="490" w:type="dxa"/>
            <w:tcBorders>
              <w:top w:val="single" w:sz="8" w:space="0" w:color="FFFFFF"/>
              <w:left w:val="single" w:sz="8" w:space="0" w:color="FFFFFF"/>
              <w:bottom w:val="single" w:sz="8" w:space="0" w:color="FFFFFF"/>
              <w:right w:val="single" w:sz="8" w:space="0" w:color="FFFFFF"/>
            </w:tcBorders>
            <w:shd w:val="clear" w:color="auto" w:fill="9ADCDC"/>
            <w:tcMar>
              <w:top w:w="14" w:type="dxa"/>
              <w:left w:w="0" w:type="dxa"/>
              <w:bottom w:w="14" w:type="dxa"/>
              <w:right w:w="0" w:type="dxa"/>
            </w:tcMar>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0.2</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(0.4)</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b/>
                <w:bCs/>
                <w:sz w:val="18"/>
                <w:szCs w:val="18"/>
              </w:rPr>
            </w:pPr>
            <w:r>
              <w:rPr>
                <w:rFonts w:cs="Arial"/>
                <w:b/>
                <w:bCs/>
                <w:sz w:val="18"/>
                <w:szCs w:val="18"/>
              </w:rPr>
              <w:t>(0.2)</w:t>
            </w:r>
          </w:p>
        </w:tc>
      </w:tr>
      <w:tr w:rsidR="004F04B1" w:rsidRPr="002F4AC2" w:rsidTr="00B6427C">
        <w:trPr>
          <w:trHeight w:val="244"/>
        </w:trPr>
        <w:tc>
          <w:tcPr>
            <w:tcW w:w="1243" w:type="dxa"/>
            <w:tcBorders>
              <w:top w:val="single" w:sz="8" w:space="0" w:color="FFFFFF"/>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Pr>
                <w:sz w:val="18"/>
                <w:szCs w:val="18"/>
                <w:lang w:val="en-GB"/>
              </w:rPr>
              <w:t xml:space="preserve">S. </w:t>
            </w:r>
            <w:r w:rsidRPr="00E305C7">
              <w:rPr>
                <w:sz w:val="18"/>
                <w:szCs w:val="18"/>
                <w:lang w:val="en-GB"/>
              </w:rPr>
              <w:t>America</w:t>
            </w:r>
          </w:p>
        </w:tc>
        <w:tc>
          <w:tcPr>
            <w:tcW w:w="490" w:type="dxa"/>
            <w:tcBorders>
              <w:top w:val="single" w:sz="8" w:space="0" w:color="FFFFFF"/>
              <w:left w:val="single" w:sz="8" w:space="0" w:color="FFFFFF"/>
              <w:bottom w:val="single" w:sz="8" w:space="0" w:color="FFFFFF"/>
              <w:right w:val="single" w:sz="8" w:space="0" w:color="FFFFFF"/>
            </w:tcBorders>
            <w:shd w:val="clear" w:color="auto" w:fill="17A8DB"/>
            <w:tcMar>
              <w:top w:w="14" w:type="dxa"/>
              <w:left w:w="0" w:type="dxa"/>
              <w:bottom w:w="14" w:type="dxa"/>
              <w:right w:w="0" w:type="dxa"/>
            </w:tcMar>
            <w:vAlign w:val="center"/>
          </w:tcPr>
          <w:p w:rsidR="004F04B1" w:rsidRDefault="004F04B1" w:rsidP="00B6427C">
            <w:pPr>
              <w:jc w:val="center"/>
              <w:rPr>
                <w:rFonts w:cs="Arial"/>
                <w:color w:val="000000"/>
                <w:sz w:val="18"/>
                <w:szCs w:val="18"/>
              </w:rPr>
            </w:pPr>
            <w:r>
              <w:rPr>
                <w:rFonts w:cs="Arial"/>
                <w:color w:val="000000"/>
                <w:sz w:val="18"/>
                <w:szCs w:val="18"/>
              </w:rPr>
              <w:t>3.9</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2.2</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0.2</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3.9</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6.8</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color w:val="000000"/>
                <w:sz w:val="18"/>
                <w:szCs w:val="18"/>
              </w:rPr>
            </w:pPr>
            <w:r>
              <w:rPr>
                <w:rFonts w:cs="Arial"/>
                <w:color w:val="000000"/>
                <w:sz w:val="18"/>
                <w:szCs w:val="18"/>
              </w:rPr>
              <w:t>(0.3)</w:t>
            </w:r>
          </w:p>
        </w:tc>
        <w:tc>
          <w:tcPr>
            <w:tcW w:w="490" w:type="dxa"/>
            <w:tcBorders>
              <w:top w:val="single" w:sz="8" w:space="0" w:color="FFFFFF"/>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sz w:val="18"/>
                <w:szCs w:val="18"/>
              </w:rPr>
            </w:pPr>
            <w:r>
              <w:rPr>
                <w:rFonts w:cs="Arial"/>
                <w:b/>
                <w:bCs/>
                <w:sz w:val="18"/>
                <w:szCs w:val="18"/>
              </w:rPr>
              <w:t>16.8</w:t>
            </w:r>
          </w:p>
        </w:tc>
      </w:tr>
      <w:tr w:rsidR="004F04B1" w:rsidRPr="002F4AC2" w:rsidTr="00B6427C">
        <w:trPr>
          <w:trHeight w:val="244"/>
        </w:trPr>
        <w:tc>
          <w:tcPr>
            <w:tcW w:w="1243" w:type="dxa"/>
            <w:tcBorders>
              <w:top w:val="single" w:sz="8" w:space="0" w:color="FFFFFF"/>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Pr>
                <w:sz w:val="18"/>
                <w:szCs w:val="18"/>
                <w:lang w:val="en-GB"/>
              </w:rPr>
              <w:t>Re-exports</w:t>
            </w:r>
          </w:p>
        </w:tc>
        <w:tc>
          <w:tcPr>
            <w:tcW w:w="490" w:type="dxa"/>
            <w:tcBorders>
              <w:top w:val="single" w:sz="8" w:space="0" w:color="FFFFFF"/>
              <w:left w:val="single" w:sz="8" w:space="0" w:color="FFFFFF"/>
              <w:bottom w:val="single" w:sz="8" w:space="0" w:color="FFFFFF"/>
              <w:right w:val="single" w:sz="8" w:space="0" w:color="FFFFFF"/>
            </w:tcBorders>
            <w:shd w:val="clear" w:color="auto" w:fill="9ADCDC"/>
            <w:tcMar>
              <w:top w:w="14" w:type="dxa"/>
              <w:left w:w="0" w:type="dxa"/>
              <w:bottom w:w="14" w:type="dxa"/>
              <w:right w:w="0" w:type="dxa"/>
            </w:tcMar>
            <w:vAlign w:val="center"/>
          </w:tcPr>
          <w:p w:rsidR="004F04B1" w:rsidRDefault="004F04B1" w:rsidP="00B6427C">
            <w:pPr>
              <w:jc w:val="center"/>
              <w:rPr>
                <w:rFonts w:cs="Arial"/>
                <w:color w:val="000000"/>
                <w:sz w:val="18"/>
                <w:szCs w:val="18"/>
              </w:rPr>
            </w:pPr>
            <w:r>
              <w:rPr>
                <w:rFonts w:cs="Arial"/>
                <w:color w:val="000000"/>
                <w:sz w:val="18"/>
                <w:szCs w:val="18"/>
              </w:rPr>
              <w:t>0.9</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1.2</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1.3</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color w:val="000000"/>
                <w:sz w:val="18"/>
                <w:szCs w:val="18"/>
              </w:rPr>
            </w:pPr>
            <w:r>
              <w:rPr>
                <w:rFonts w:cs="Arial"/>
                <w:color w:val="000000"/>
                <w:sz w:val="18"/>
                <w:szCs w:val="18"/>
              </w:rPr>
              <w:t>0.0</w:t>
            </w:r>
          </w:p>
        </w:tc>
        <w:tc>
          <w:tcPr>
            <w:tcW w:w="490" w:type="dxa"/>
            <w:tcBorders>
              <w:top w:val="single" w:sz="8" w:space="0" w:color="FFFFFF"/>
              <w:left w:val="single" w:sz="8" w:space="0" w:color="FFFFFF"/>
              <w:bottom w:val="single" w:sz="8" w:space="0" w:color="FFFFFF"/>
              <w:right w:val="single" w:sz="8" w:space="0" w:color="FFFFFF"/>
            </w:tcBorders>
            <w:shd w:val="clear" w:color="auto" w:fill="9ADCDC"/>
            <w:vAlign w:val="center"/>
          </w:tcPr>
          <w:p w:rsidR="004F04B1" w:rsidRDefault="004F04B1" w:rsidP="00B6427C">
            <w:pPr>
              <w:jc w:val="center"/>
              <w:rPr>
                <w:rFonts w:cs="Arial"/>
                <w:b/>
                <w:bCs/>
                <w:sz w:val="18"/>
                <w:szCs w:val="18"/>
              </w:rPr>
            </w:pPr>
            <w:r>
              <w:rPr>
                <w:rFonts w:cs="Arial"/>
                <w:b/>
                <w:bCs/>
                <w:sz w:val="18"/>
                <w:szCs w:val="18"/>
              </w:rPr>
              <w:t>3.5</w:t>
            </w:r>
          </w:p>
        </w:tc>
      </w:tr>
      <w:tr w:rsidR="004F04B1" w:rsidRPr="002F4AC2" w:rsidTr="00B6427C">
        <w:trPr>
          <w:trHeight w:val="326"/>
        </w:trPr>
        <w:tc>
          <w:tcPr>
            <w:tcW w:w="1243" w:type="dxa"/>
            <w:tcBorders>
              <w:top w:val="single" w:sz="8" w:space="0" w:color="000000"/>
              <w:left w:val="single" w:sz="8" w:space="0" w:color="FFFFFF"/>
              <w:bottom w:val="single" w:sz="8" w:space="0" w:color="FFFFFF"/>
              <w:right w:val="single" w:sz="8" w:space="0" w:color="FFFFFF"/>
            </w:tcBorders>
            <w:shd w:val="clear" w:color="auto" w:fill="17A8DB"/>
            <w:tcMar>
              <w:top w:w="14" w:type="dxa"/>
              <w:left w:w="43" w:type="dxa"/>
              <w:bottom w:w="14" w:type="dxa"/>
              <w:right w:w="0" w:type="dxa"/>
            </w:tcMar>
            <w:vAlign w:val="center"/>
          </w:tcPr>
          <w:p w:rsidR="004F04B1" w:rsidRPr="00E305C7" w:rsidRDefault="004F04B1" w:rsidP="00B6427C">
            <w:pPr>
              <w:rPr>
                <w:sz w:val="18"/>
                <w:szCs w:val="18"/>
                <w:lang w:val="en-GB"/>
              </w:rPr>
            </w:pPr>
            <w:r w:rsidRPr="00E305C7">
              <w:rPr>
                <w:b/>
                <w:bCs/>
                <w:sz w:val="18"/>
                <w:szCs w:val="18"/>
                <w:lang w:val="en-GB"/>
              </w:rPr>
              <w:t xml:space="preserve">Total </w:t>
            </w:r>
          </w:p>
        </w:tc>
        <w:tc>
          <w:tcPr>
            <w:tcW w:w="490" w:type="dxa"/>
            <w:tcBorders>
              <w:top w:val="single" w:sz="8" w:space="0" w:color="000000"/>
              <w:left w:val="single" w:sz="8" w:space="0" w:color="FFFFFF"/>
              <w:bottom w:val="single" w:sz="8" w:space="0" w:color="FFFFFF"/>
              <w:right w:val="single" w:sz="8" w:space="0" w:color="FFFFFF"/>
            </w:tcBorders>
            <w:shd w:val="clear" w:color="auto" w:fill="17A8DB"/>
            <w:tcMar>
              <w:top w:w="14" w:type="dxa"/>
              <w:left w:w="0" w:type="dxa"/>
              <w:bottom w:w="14" w:type="dxa"/>
              <w:right w:w="0" w:type="dxa"/>
            </w:tcMar>
            <w:vAlign w:val="center"/>
          </w:tcPr>
          <w:p w:rsidR="004F04B1" w:rsidRDefault="004F04B1" w:rsidP="00B6427C">
            <w:pPr>
              <w:jc w:val="center"/>
              <w:rPr>
                <w:rFonts w:cs="Arial"/>
                <w:b/>
                <w:bCs/>
                <w:color w:val="000000"/>
                <w:sz w:val="18"/>
                <w:szCs w:val="18"/>
              </w:rPr>
            </w:pPr>
            <w:r>
              <w:rPr>
                <w:rFonts w:cs="Arial"/>
                <w:b/>
                <w:bCs/>
                <w:color w:val="000000"/>
                <w:sz w:val="18"/>
                <w:szCs w:val="18"/>
              </w:rPr>
              <w:t>51.1</w:t>
            </w:r>
          </w:p>
        </w:tc>
        <w:tc>
          <w:tcPr>
            <w:tcW w:w="490" w:type="dxa"/>
            <w:tcBorders>
              <w:top w:val="single" w:sz="8" w:space="0" w:color="000000"/>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color w:val="000000"/>
                <w:sz w:val="18"/>
                <w:szCs w:val="18"/>
              </w:rPr>
            </w:pPr>
            <w:r>
              <w:rPr>
                <w:rFonts w:cs="Arial"/>
                <w:b/>
                <w:bCs/>
                <w:color w:val="000000"/>
                <w:sz w:val="18"/>
                <w:szCs w:val="18"/>
              </w:rPr>
              <w:t>166.6</w:t>
            </w:r>
          </w:p>
        </w:tc>
        <w:tc>
          <w:tcPr>
            <w:tcW w:w="490" w:type="dxa"/>
            <w:tcBorders>
              <w:top w:val="single" w:sz="8" w:space="0" w:color="000000"/>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color w:val="000000"/>
                <w:sz w:val="18"/>
                <w:szCs w:val="18"/>
              </w:rPr>
            </w:pPr>
            <w:r>
              <w:rPr>
                <w:rFonts w:cs="Arial"/>
                <w:b/>
                <w:bCs/>
                <w:color w:val="000000"/>
                <w:sz w:val="18"/>
                <w:szCs w:val="18"/>
              </w:rPr>
              <w:t>3.4</w:t>
            </w:r>
          </w:p>
        </w:tc>
        <w:tc>
          <w:tcPr>
            <w:tcW w:w="490" w:type="dxa"/>
            <w:tcBorders>
              <w:top w:val="single" w:sz="8" w:space="0" w:color="000000"/>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color w:val="000000"/>
                <w:sz w:val="18"/>
                <w:szCs w:val="18"/>
              </w:rPr>
            </w:pPr>
            <w:r>
              <w:rPr>
                <w:rFonts w:cs="Arial"/>
                <w:b/>
                <w:bCs/>
                <w:color w:val="000000"/>
                <w:sz w:val="18"/>
                <w:szCs w:val="18"/>
              </w:rPr>
              <w:t>9.4</w:t>
            </w:r>
          </w:p>
        </w:tc>
        <w:tc>
          <w:tcPr>
            <w:tcW w:w="490" w:type="dxa"/>
            <w:tcBorders>
              <w:top w:val="single" w:sz="8" w:space="0" w:color="000000"/>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color w:val="000000"/>
                <w:sz w:val="18"/>
                <w:szCs w:val="18"/>
              </w:rPr>
            </w:pPr>
            <w:r>
              <w:rPr>
                <w:rFonts w:cs="Arial"/>
                <w:b/>
                <w:bCs/>
                <w:color w:val="000000"/>
                <w:sz w:val="18"/>
                <w:szCs w:val="18"/>
              </w:rPr>
              <w:t>10.7</w:t>
            </w:r>
          </w:p>
        </w:tc>
        <w:tc>
          <w:tcPr>
            <w:tcW w:w="490" w:type="dxa"/>
            <w:tcBorders>
              <w:top w:val="single" w:sz="8" w:space="0" w:color="000000"/>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color w:val="000000"/>
                <w:sz w:val="18"/>
                <w:szCs w:val="18"/>
              </w:rPr>
            </w:pPr>
            <w:r>
              <w:rPr>
                <w:rFonts w:cs="Arial"/>
                <w:b/>
                <w:bCs/>
                <w:color w:val="000000"/>
                <w:sz w:val="18"/>
                <w:szCs w:val="18"/>
              </w:rPr>
              <w:t>(3.5)</w:t>
            </w:r>
          </w:p>
        </w:tc>
        <w:tc>
          <w:tcPr>
            <w:tcW w:w="490" w:type="dxa"/>
            <w:tcBorders>
              <w:top w:val="single" w:sz="8" w:space="0" w:color="000000"/>
              <w:left w:val="single" w:sz="8" w:space="0" w:color="FFFFFF"/>
              <w:bottom w:val="single" w:sz="8" w:space="0" w:color="FFFFFF"/>
              <w:right w:val="single" w:sz="8" w:space="0" w:color="FFFFFF"/>
            </w:tcBorders>
            <w:shd w:val="clear" w:color="auto" w:fill="17A8DB"/>
            <w:vAlign w:val="center"/>
          </w:tcPr>
          <w:p w:rsidR="004F04B1" w:rsidRDefault="004F04B1" w:rsidP="00B6427C">
            <w:pPr>
              <w:jc w:val="center"/>
              <w:rPr>
                <w:rFonts w:cs="Arial"/>
                <w:b/>
                <w:bCs/>
                <w:sz w:val="18"/>
                <w:szCs w:val="18"/>
              </w:rPr>
            </w:pPr>
            <w:r>
              <w:rPr>
                <w:rFonts w:cs="Arial"/>
                <w:b/>
                <w:bCs/>
                <w:sz w:val="18"/>
                <w:szCs w:val="18"/>
              </w:rPr>
              <w:t>237.7</w:t>
            </w:r>
          </w:p>
        </w:tc>
      </w:tr>
    </w:tbl>
    <w:p w:rsidR="004F04B1" w:rsidRDefault="00F05256" w:rsidP="004F04B1">
      <w:pPr>
        <w:pStyle w:val="PFCBulletedText2"/>
        <w:ind w:left="0" w:firstLine="0"/>
        <w:jc w:val="left"/>
        <w:rPr>
          <w:b/>
          <w:sz w:val="18"/>
          <w:szCs w:val="18"/>
        </w:rPr>
      </w:pPr>
      <w:r>
        <w:rPr>
          <w:b/>
          <w:sz w:val="18"/>
          <w:szCs w:val="18"/>
        </w:rPr>
        <w:t xml:space="preserve">    Table 3.2</w:t>
      </w:r>
      <w:r w:rsidR="004F04B1">
        <w:rPr>
          <w:b/>
          <w:sz w:val="18"/>
          <w:szCs w:val="18"/>
        </w:rPr>
        <w:t xml:space="preserve">: LNG Trade </w:t>
      </w:r>
      <w:proofErr w:type="gramStart"/>
      <w:r w:rsidR="004F04B1">
        <w:rPr>
          <w:b/>
          <w:sz w:val="18"/>
          <w:szCs w:val="18"/>
        </w:rPr>
        <w:t>Between</w:t>
      </w:r>
      <w:proofErr w:type="gramEnd"/>
      <w:r w:rsidR="004F04B1">
        <w:rPr>
          <w:b/>
          <w:sz w:val="18"/>
          <w:szCs w:val="18"/>
        </w:rPr>
        <w:t xml:space="preserve"> Basins, 2012, MT</w:t>
      </w:r>
    </w:p>
    <w:p w:rsidR="004F04B1" w:rsidRPr="00B6427C" w:rsidRDefault="004F04B1" w:rsidP="004F04B1">
      <w:pPr>
        <w:ind w:left="187"/>
        <w:rPr>
          <w:i/>
          <w:sz w:val="16"/>
          <w:szCs w:val="16"/>
          <w:lang w:val="en-GB"/>
        </w:rPr>
      </w:pPr>
      <w:r w:rsidRPr="00B6427C">
        <w:rPr>
          <w:i/>
          <w:sz w:val="16"/>
          <w:szCs w:val="16"/>
          <w:lang w:val="en-GB"/>
        </w:rPr>
        <w:t xml:space="preserve">Sources: Waterborne LNG Reports, EIA, DOE, PFC Energy Global LNG Service. </w:t>
      </w:r>
    </w:p>
    <w:p w:rsidR="00D94626" w:rsidRPr="009C3813" w:rsidRDefault="00D94626" w:rsidP="00C401C6">
      <w:pPr>
        <w:pStyle w:val="Titre2"/>
        <w:ind w:firstLine="180"/>
        <w:rPr>
          <w:lang w:val="en-GB"/>
        </w:rPr>
      </w:pPr>
      <w:bookmarkStart w:id="11" w:name="_Toc360628232"/>
      <w:r w:rsidRPr="009C3813">
        <w:rPr>
          <w:lang w:val="en-GB"/>
        </w:rPr>
        <w:t>3.</w:t>
      </w:r>
      <w:r w:rsidR="00B471CB">
        <w:rPr>
          <w:lang w:val="en-GB"/>
        </w:rPr>
        <w:t>5</w:t>
      </w:r>
      <w:r w:rsidRPr="009C3813">
        <w:rPr>
          <w:lang w:val="en-GB"/>
        </w:rPr>
        <w:t>. LNG SPOT AND SHORT-TERM MARKET</w:t>
      </w:r>
      <w:r w:rsidR="00B471CB">
        <w:rPr>
          <w:rStyle w:val="Appelnotedebasdep"/>
          <w:lang w:val="en-GB"/>
        </w:rPr>
        <w:footnoteReference w:id="1"/>
      </w:r>
      <w:bookmarkEnd w:id="11"/>
    </w:p>
    <w:p w:rsidR="00D94626" w:rsidRDefault="00D94626" w:rsidP="00D94626">
      <w:pPr>
        <w:spacing w:line="252" w:lineRule="auto"/>
        <w:ind w:left="180"/>
        <w:jc w:val="both"/>
        <w:rPr>
          <w:sz w:val="18"/>
          <w:lang w:val="en-GB"/>
        </w:rPr>
      </w:pPr>
    </w:p>
    <w:p w:rsidR="00D94626" w:rsidRDefault="00D94626" w:rsidP="00D94626">
      <w:pPr>
        <w:spacing w:line="252" w:lineRule="auto"/>
        <w:ind w:left="180"/>
        <w:jc w:val="both"/>
        <w:rPr>
          <w:sz w:val="18"/>
          <w:lang w:val="en-GB"/>
        </w:rPr>
      </w:pPr>
      <w:r w:rsidRPr="00564DBB">
        <w:rPr>
          <w:sz w:val="18"/>
          <w:lang w:val="en-GB"/>
        </w:rPr>
        <w:t xml:space="preserve">Traditionally, LNG has been delivered under long-term </w:t>
      </w:r>
      <w:r w:rsidRPr="00564DBB">
        <w:rPr>
          <w:sz w:val="18"/>
          <w:lang w:val="en-GB"/>
        </w:rPr>
        <w:lastRenderedPageBreak/>
        <w:t>arrangements between buyers and sellers and was only marginally traded on a spot</w:t>
      </w:r>
      <w:r>
        <w:rPr>
          <w:sz w:val="18"/>
          <w:lang w:val="en-GB"/>
        </w:rPr>
        <w:t xml:space="preserve"> and short-</w:t>
      </w:r>
      <w:r w:rsidRPr="00FC57BA">
        <w:rPr>
          <w:sz w:val="18"/>
          <w:lang w:val="en-GB"/>
        </w:rPr>
        <w:t xml:space="preserve">term basis.  </w:t>
      </w:r>
    </w:p>
    <w:tbl>
      <w:tblPr>
        <w:tblpPr w:leftFromText="180" w:rightFromText="180" w:vertAnchor="text" w:horzAnchor="margin" w:tblpY="47"/>
        <w:tblW w:w="4975" w:type="dxa"/>
        <w:tblLayout w:type="fixed"/>
        <w:tblLook w:val="01E0"/>
      </w:tblPr>
      <w:tblGrid>
        <w:gridCol w:w="4975"/>
      </w:tblGrid>
      <w:tr w:rsidR="00EB2A64" w:rsidRPr="00A918C1" w:rsidTr="00EB2A64">
        <w:trPr>
          <w:trHeight w:val="2938"/>
        </w:trPr>
        <w:tc>
          <w:tcPr>
            <w:tcW w:w="4975" w:type="dxa"/>
          </w:tcPr>
          <w:p w:rsidR="00EB2A64" w:rsidRDefault="002A7AC9" w:rsidP="00EB2A64">
            <w:pPr>
              <w:pStyle w:val="PFCBulletedText2"/>
              <w:spacing w:before="120" w:after="0"/>
              <w:ind w:left="0" w:firstLine="0"/>
              <w:jc w:val="left"/>
              <w:rPr>
                <w:noProof/>
                <w:lang w:eastAsia="en-US"/>
              </w:rPr>
            </w:pPr>
            <w:r>
              <w:rPr>
                <w:noProof/>
                <w:lang w:val="fr-FR" w:eastAsia="zh-CN"/>
              </w:rPr>
              <w:drawing>
                <wp:inline distT="0" distB="0" distL="0" distR="0">
                  <wp:extent cx="3019425" cy="2062480"/>
                  <wp:effectExtent l="19050" t="0" r="9525"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3019425" cy="2062480"/>
                          </a:xfrm>
                          <a:prstGeom prst="rect">
                            <a:avLst/>
                          </a:prstGeom>
                          <a:noFill/>
                          <a:ln w="9525">
                            <a:noFill/>
                            <a:miter lim="800000"/>
                            <a:headEnd/>
                            <a:tailEnd/>
                          </a:ln>
                        </pic:spPr>
                      </pic:pic>
                    </a:graphicData>
                  </a:graphic>
                </wp:inline>
              </w:drawing>
            </w:r>
          </w:p>
          <w:p w:rsidR="00EB2A64" w:rsidRDefault="00EB2A64" w:rsidP="00EB2A64">
            <w:pPr>
              <w:pStyle w:val="PFCBulletedText2"/>
              <w:ind w:left="0" w:firstLine="0"/>
              <w:jc w:val="left"/>
              <w:rPr>
                <w:b/>
                <w:sz w:val="18"/>
                <w:szCs w:val="18"/>
              </w:rPr>
            </w:pPr>
            <w:r>
              <w:rPr>
                <w:b/>
                <w:sz w:val="18"/>
                <w:szCs w:val="18"/>
              </w:rPr>
              <w:t>Figure</w:t>
            </w:r>
            <w:r w:rsidRPr="00C84057">
              <w:rPr>
                <w:b/>
                <w:sz w:val="18"/>
                <w:szCs w:val="18"/>
              </w:rPr>
              <w:t xml:space="preserve"> </w:t>
            </w:r>
            <w:r w:rsidR="00F05256">
              <w:rPr>
                <w:b/>
                <w:sz w:val="18"/>
                <w:szCs w:val="18"/>
              </w:rPr>
              <w:t>3.10</w:t>
            </w:r>
            <w:r w:rsidRPr="00C84057">
              <w:rPr>
                <w:b/>
                <w:sz w:val="18"/>
                <w:szCs w:val="18"/>
              </w:rPr>
              <w:t xml:space="preserve">:  </w:t>
            </w:r>
            <w:r>
              <w:rPr>
                <w:b/>
                <w:sz w:val="18"/>
                <w:szCs w:val="18"/>
              </w:rPr>
              <w:t>Spot &amp; Short-Term Volumes</w:t>
            </w:r>
            <w:r w:rsidRPr="00C84057">
              <w:rPr>
                <w:b/>
                <w:sz w:val="18"/>
                <w:szCs w:val="18"/>
              </w:rPr>
              <w:t xml:space="preserve">, 1995-2012 </w:t>
            </w:r>
          </w:p>
          <w:p w:rsidR="00EB2A64" w:rsidRPr="00494081" w:rsidRDefault="00EB2A64" w:rsidP="00012D37">
            <w:pPr>
              <w:pStyle w:val="PFCBulletedText2"/>
              <w:ind w:left="0" w:firstLine="0"/>
              <w:jc w:val="left"/>
              <w:rPr>
                <w:sz w:val="16"/>
                <w:szCs w:val="16"/>
              </w:rPr>
            </w:pPr>
            <w:r w:rsidRPr="003B0D00">
              <w:rPr>
                <w:i/>
                <w:sz w:val="16"/>
                <w:szCs w:val="16"/>
              </w:rPr>
              <w:t xml:space="preserve">Sources: </w:t>
            </w:r>
            <w:r>
              <w:t xml:space="preserve"> </w:t>
            </w:r>
            <w:r w:rsidRPr="005733C3">
              <w:rPr>
                <w:i/>
                <w:sz w:val="16"/>
                <w:szCs w:val="16"/>
              </w:rPr>
              <w:t>Sources:</w:t>
            </w:r>
            <w:r>
              <w:rPr>
                <w:i/>
                <w:sz w:val="16"/>
                <w:szCs w:val="16"/>
              </w:rPr>
              <w:t xml:space="preserve"> </w:t>
            </w:r>
            <w:r w:rsidRPr="005733C3">
              <w:rPr>
                <w:i/>
                <w:sz w:val="16"/>
                <w:szCs w:val="16"/>
              </w:rPr>
              <w:t>Waterborne LNG Reports, US DOE, PFC Energy Global LNG Service</w:t>
            </w:r>
          </w:p>
        </w:tc>
      </w:tr>
    </w:tbl>
    <w:p w:rsidR="00A12283" w:rsidRDefault="00A12283" w:rsidP="00D94626">
      <w:pPr>
        <w:spacing w:line="252" w:lineRule="auto"/>
        <w:ind w:left="180"/>
        <w:jc w:val="both"/>
        <w:rPr>
          <w:sz w:val="18"/>
          <w:lang w:val="en-GB"/>
        </w:rPr>
      </w:pPr>
    </w:p>
    <w:p w:rsidR="00D94626" w:rsidRPr="00542E7D" w:rsidRDefault="00073EEA" w:rsidP="00D94626">
      <w:pPr>
        <w:spacing w:line="252" w:lineRule="auto"/>
        <w:ind w:left="180"/>
        <w:jc w:val="both"/>
        <w:rPr>
          <w:sz w:val="18"/>
          <w:lang w:val="en-GB"/>
        </w:rPr>
      </w:pPr>
      <w:r w:rsidRPr="00073EEA">
        <w:rPr>
          <w:noProof/>
          <w:sz w:val="18"/>
          <w:lang w:eastAsia="en-US"/>
        </w:rPr>
        <w:pict>
          <v:shape id="_x0000_s1165" type="#_x0000_t202" style="position:absolute;left:0;text-align:left;margin-left:160.95pt;margin-top:39.8pt;width:111.35pt;height:40.75pt;z-index:251706368;mso-wrap-edited:f;mso-wrap-distance-left:14.4pt;mso-wrap-distance-right:14.4pt;mso-width-relative:margin;mso-height-relative:margin" wrapcoords="0 0 21600 0 21600 21600 0 21600 0 0" filled="f" stroked="f" strokecolor="silver">
            <v:fill o:detectmouseclick="t"/>
            <v:textbox inset="0,0,0,0">
              <w:txbxContent>
                <w:p w:rsidR="00856114" w:rsidRPr="003A5BDA" w:rsidRDefault="00856114" w:rsidP="0070469F">
                  <w:pPr>
                    <w:rPr>
                      <w:b/>
                      <w:color w:val="1B82CE" w:themeColor="accent3"/>
                      <w:sz w:val="24"/>
                    </w:rPr>
                  </w:pPr>
                  <w:r>
                    <w:rPr>
                      <w:b/>
                      <w:color w:val="1B82CE" w:themeColor="accent3"/>
                      <w:sz w:val="24"/>
                    </w:rPr>
                    <w:t>73.5 MT</w:t>
                  </w:r>
                </w:p>
                <w:p w:rsidR="00856114" w:rsidRPr="003A5BDA" w:rsidRDefault="00856114" w:rsidP="0070469F">
                  <w:pPr>
                    <w:rPr>
                      <w:i/>
                      <w:color w:val="1B82CE" w:themeColor="accent3"/>
                      <w:sz w:val="18"/>
                    </w:rPr>
                  </w:pPr>
                  <w:r>
                    <w:rPr>
                      <w:i/>
                      <w:color w:val="1B82CE" w:themeColor="accent3"/>
                      <w:sz w:val="18"/>
                    </w:rPr>
                    <w:t>Spot and short-term trade in 2012; 31% of total trade</w:t>
                  </w:r>
                </w:p>
              </w:txbxContent>
            </v:textbox>
            <w10:wrap type="tight"/>
          </v:shape>
        </w:pict>
      </w:r>
      <w:r w:rsidR="00D94626" w:rsidRPr="00FC57BA">
        <w:rPr>
          <w:sz w:val="18"/>
          <w:lang w:val="en-GB"/>
        </w:rPr>
        <w:t>Before 2000, the spot and short-term market was</w:t>
      </w:r>
      <w:r w:rsidR="00D94626" w:rsidRPr="00564DBB">
        <w:rPr>
          <w:sz w:val="18"/>
          <w:lang w:val="en-GB"/>
        </w:rPr>
        <w:t xml:space="preserve"> marginal, accounting for less than 5% of volumes traded. By 2005, its share had grown to 8%, before experiencing another step change in 2006. </w:t>
      </w:r>
      <w:r w:rsidR="00D94626" w:rsidRPr="00542E7D">
        <w:rPr>
          <w:sz w:val="18"/>
          <w:lang w:val="en-GB"/>
        </w:rPr>
        <w:t xml:space="preserve">Between 2007 and 2010, the spot and short-term market accounted for 17 to 20% of total LNG trade.  In 2011 and 2012, a variety of factors have vaulted the spot and short-term market to new heights – the market reached </w:t>
      </w:r>
      <w:r w:rsidR="00256D40">
        <w:rPr>
          <w:sz w:val="18"/>
          <w:lang w:val="en-GB"/>
        </w:rPr>
        <w:t>73.5</w:t>
      </w:r>
      <w:r w:rsidR="00D94626" w:rsidRPr="00542E7D">
        <w:rPr>
          <w:sz w:val="18"/>
          <w:lang w:val="en-GB"/>
        </w:rPr>
        <w:t xml:space="preserve"> MTPA in 2012, or 31% of global trade.  These factors include: </w:t>
      </w:r>
    </w:p>
    <w:p w:rsidR="00D94626" w:rsidRPr="00542E7D" w:rsidRDefault="00D94626" w:rsidP="00D94626">
      <w:pPr>
        <w:spacing w:line="252" w:lineRule="auto"/>
        <w:ind w:left="180"/>
        <w:jc w:val="both"/>
        <w:rPr>
          <w:sz w:val="18"/>
          <w:lang w:val="en-GB"/>
        </w:rPr>
      </w:pPr>
    </w:p>
    <w:p w:rsidR="00D94626" w:rsidRDefault="00D94626" w:rsidP="00D94626">
      <w:pPr>
        <w:pStyle w:val="Paragraphedeliste"/>
        <w:numPr>
          <w:ilvl w:val="0"/>
          <w:numId w:val="46"/>
        </w:numPr>
        <w:spacing w:line="252" w:lineRule="auto"/>
        <w:jc w:val="both"/>
        <w:rPr>
          <w:sz w:val="18"/>
          <w:lang w:val="en-GB"/>
        </w:rPr>
      </w:pPr>
      <w:r w:rsidRPr="001B55B3">
        <w:rPr>
          <w:sz w:val="18"/>
          <w:lang w:val="en-GB"/>
        </w:rPr>
        <w:t>The growth in LNG contracts with destination flexibility, c</w:t>
      </w:r>
      <w:r w:rsidR="001B55B3">
        <w:rPr>
          <w:sz w:val="18"/>
          <w:lang w:val="en-GB"/>
        </w:rPr>
        <w:t>hiefly from the Atlantic Basin and Qatar.</w:t>
      </w:r>
    </w:p>
    <w:p w:rsidR="001B55B3" w:rsidRPr="001B55B3" w:rsidRDefault="001B55B3" w:rsidP="001B55B3">
      <w:pPr>
        <w:pStyle w:val="Paragraphedeliste"/>
        <w:spacing w:line="252" w:lineRule="auto"/>
        <w:ind w:left="900"/>
        <w:jc w:val="both"/>
        <w:rPr>
          <w:sz w:val="18"/>
          <w:lang w:val="en-GB"/>
        </w:rPr>
      </w:pPr>
    </w:p>
    <w:p w:rsidR="00D94626" w:rsidRPr="00542E7D" w:rsidRDefault="00D94626" w:rsidP="00D94626">
      <w:pPr>
        <w:pStyle w:val="Paragraphedeliste"/>
        <w:numPr>
          <w:ilvl w:val="0"/>
          <w:numId w:val="46"/>
        </w:numPr>
        <w:spacing w:line="252" w:lineRule="auto"/>
        <w:jc w:val="both"/>
        <w:rPr>
          <w:sz w:val="18"/>
          <w:lang w:val="en-GB"/>
        </w:rPr>
      </w:pPr>
      <w:r w:rsidRPr="00542E7D">
        <w:rPr>
          <w:sz w:val="18"/>
          <w:lang w:val="en-GB"/>
        </w:rPr>
        <w:t xml:space="preserve">The increase in the number of exporters and importers which has increased the complexity of the trade and introduced new permutations and linkages between buyers and sellers. </w:t>
      </w:r>
    </w:p>
    <w:p w:rsidR="00D94626" w:rsidRPr="00542E7D" w:rsidRDefault="00D94626" w:rsidP="00D94626">
      <w:pPr>
        <w:spacing w:line="252" w:lineRule="auto"/>
        <w:jc w:val="both"/>
        <w:rPr>
          <w:sz w:val="18"/>
          <w:lang w:val="en-GB"/>
        </w:rPr>
      </w:pPr>
    </w:p>
    <w:p w:rsidR="00D94626" w:rsidRPr="00542E7D" w:rsidRDefault="00D94626" w:rsidP="00D94626">
      <w:pPr>
        <w:pStyle w:val="Paragraphedeliste"/>
        <w:numPr>
          <w:ilvl w:val="0"/>
          <w:numId w:val="46"/>
        </w:numPr>
        <w:spacing w:line="252" w:lineRule="auto"/>
        <w:jc w:val="both"/>
        <w:rPr>
          <w:sz w:val="18"/>
          <w:lang w:val="en-GB"/>
        </w:rPr>
      </w:pPr>
      <w:r w:rsidRPr="00542E7D">
        <w:rPr>
          <w:sz w:val="18"/>
          <w:lang w:val="en-GB"/>
        </w:rPr>
        <w:t>The lack of domestic production or pipeline imports in Japan, Korea and Taiwan which means that they need to resort to the spot market to cope with any sudden changes in demand (i.e. Fukushima).</w:t>
      </w:r>
    </w:p>
    <w:p w:rsidR="00D94626" w:rsidRPr="00542E7D" w:rsidRDefault="00D94626" w:rsidP="00D94626">
      <w:pPr>
        <w:spacing w:line="252" w:lineRule="auto"/>
        <w:jc w:val="both"/>
        <w:rPr>
          <w:sz w:val="18"/>
          <w:lang w:val="en-GB"/>
        </w:rPr>
      </w:pPr>
    </w:p>
    <w:p w:rsidR="00D94626" w:rsidRPr="00542E7D" w:rsidRDefault="00D94626" w:rsidP="00D94626">
      <w:pPr>
        <w:pStyle w:val="Paragraphedeliste"/>
        <w:numPr>
          <w:ilvl w:val="0"/>
          <w:numId w:val="46"/>
        </w:numPr>
        <w:spacing w:line="252" w:lineRule="auto"/>
        <w:jc w:val="both"/>
        <w:rPr>
          <w:sz w:val="18"/>
          <w:lang w:val="en-GB"/>
        </w:rPr>
      </w:pPr>
      <w:r w:rsidRPr="00542E7D">
        <w:rPr>
          <w:sz w:val="18"/>
          <w:lang w:val="en-GB"/>
        </w:rPr>
        <w:t>The continued disparity between prices in different basins which has made arbitrage an important and lucrative monetization strategy.</w:t>
      </w:r>
    </w:p>
    <w:p w:rsidR="00D94626" w:rsidRPr="00542E7D" w:rsidRDefault="00D94626" w:rsidP="00D94626">
      <w:pPr>
        <w:spacing w:line="252" w:lineRule="auto"/>
        <w:jc w:val="both"/>
        <w:rPr>
          <w:sz w:val="18"/>
          <w:lang w:val="en-GB"/>
        </w:rPr>
      </w:pPr>
    </w:p>
    <w:p w:rsidR="00D94626" w:rsidRDefault="00D94626" w:rsidP="00D94626">
      <w:pPr>
        <w:pStyle w:val="Paragraphedeliste"/>
        <w:numPr>
          <w:ilvl w:val="0"/>
          <w:numId w:val="46"/>
        </w:numPr>
        <w:spacing w:line="252" w:lineRule="auto"/>
        <w:jc w:val="both"/>
        <w:rPr>
          <w:sz w:val="18"/>
          <w:lang w:val="en-GB"/>
        </w:rPr>
      </w:pPr>
      <w:r w:rsidRPr="00542E7D">
        <w:rPr>
          <w:sz w:val="18"/>
          <w:lang w:val="en-GB"/>
        </w:rPr>
        <w:t>The large growth in the LNG fleet which has allowed the industry to sustain the long-haul parts of the spot market (chiefly the trade from the Atlantic to the Pacific).</w:t>
      </w:r>
    </w:p>
    <w:p w:rsidR="00256D40" w:rsidRPr="00256D40" w:rsidRDefault="00256D40" w:rsidP="00256D40">
      <w:pPr>
        <w:spacing w:line="252" w:lineRule="auto"/>
        <w:jc w:val="both"/>
        <w:rPr>
          <w:sz w:val="18"/>
          <w:lang w:val="en-GB"/>
        </w:rPr>
      </w:pPr>
    </w:p>
    <w:p w:rsidR="00D94626" w:rsidRPr="00542E7D" w:rsidRDefault="00D94626" w:rsidP="00D94626">
      <w:pPr>
        <w:pStyle w:val="Paragraphedeliste"/>
        <w:numPr>
          <w:ilvl w:val="0"/>
          <w:numId w:val="46"/>
        </w:numPr>
        <w:spacing w:line="252" w:lineRule="auto"/>
        <w:jc w:val="both"/>
        <w:rPr>
          <w:sz w:val="18"/>
          <w:lang w:val="en-GB"/>
        </w:rPr>
      </w:pPr>
      <w:r w:rsidRPr="00542E7D">
        <w:rPr>
          <w:sz w:val="18"/>
          <w:lang w:val="en-GB"/>
        </w:rPr>
        <w:t xml:space="preserve">The decline in competitiveness of gas relative to other fuels, chiefly in Europe (from the economic crisis and more recently due to the increasing competitiveness of coal) and the United States (from shale gas) that has freed up volumes to be re-directed elsewhere. </w:t>
      </w:r>
    </w:p>
    <w:p w:rsidR="00D94626" w:rsidRPr="00542E7D" w:rsidRDefault="00D94626" w:rsidP="00D94626">
      <w:pPr>
        <w:spacing w:line="252" w:lineRule="auto"/>
        <w:ind w:left="540"/>
        <w:jc w:val="both"/>
        <w:rPr>
          <w:sz w:val="18"/>
          <w:lang w:val="en-GB"/>
        </w:rPr>
      </w:pPr>
    </w:p>
    <w:p w:rsidR="00D94626" w:rsidRDefault="00D94626" w:rsidP="00D94626">
      <w:pPr>
        <w:pStyle w:val="Paragraphedeliste"/>
        <w:numPr>
          <w:ilvl w:val="0"/>
          <w:numId w:val="46"/>
        </w:numPr>
        <w:spacing w:line="252" w:lineRule="auto"/>
        <w:jc w:val="both"/>
        <w:rPr>
          <w:sz w:val="18"/>
          <w:lang w:val="en-GB"/>
        </w:rPr>
      </w:pPr>
      <w:r w:rsidRPr="00542E7D">
        <w:rPr>
          <w:sz w:val="18"/>
          <w:lang w:val="en-GB"/>
        </w:rPr>
        <w:t>The large increase in demand in Asia and in emerging markets (i.e. Southeast Asia and South America).</w:t>
      </w:r>
    </w:p>
    <w:p w:rsidR="004F04B1" w:rsidRPr="004F04B1" w:rsidRDefault="004F04B1" w:rsidP="004F04B1">
      <w:pPr>
        <w:pStyle w:val="Paragraphedeliste"/>
        <w:rPr>
          <w:sz w:val="18"/>
          <w:lang w:val="en-GB"/>
        </w:rPr>
      </w:pPr>
    </w:p>
    <w:p w:rsidR="004F04B1" w:rsidRPr="00542E7D" w:rsidRDefault="004F04B1" w:rsidP="004F04B1">
      <w:pPr>
        <w:spacing w:line="252" w:lineRule="auto"/>
        <w:ind w:left="180"/>
        <w:jc w:val="both"/>
        <w:rPr>
          <w:sz w:val="18"/>
          <w:lang w:val="en-GB"/>
        </w:rPr>
      </w:pPr>
      <w:r w:rsidRPr="00542E7D">
        <w:rPr>
          <w:sz w:val="18"/>
          <w:lang w:val="en-GB"/>
        </w:rPr>
        <w:t xml:space="preserve">In 2012, there were an equal number of spot and short-term importers and exporters at 23 each.  Compared to 2011, the number of importers stayed the same because Belgium and France did not receive spot or short-term cargoes and Mexico and Puerto Rico did.  The number of exporters grew by two since Brunei exported volumes well above its contractual obligation to South Korea, Portugal and France re-exported their first cargoes, and because Mexico did not re-export in 2012. </w:t>
      </w:r>
    </w:p>
    <w:p w:rsidR="004F04B1" w:rsidRPr="004F04B1" w:rsidRDefault="004F04B1" w:rsidP="004F04B1">
      <w:pPr>
        <w:spacing w:line="252" w:lineRule="auto"/>
        <w:jc w:val="both"/>
        <w:rPr>
          <w:sz w:val="18"/>
          <w:lang w:val="en-GB"/>
        </w:rPr>
      </w:pPr>
    </w:p>
    <w:tbl>
      <w:tblPr>
        <w:tblpPr w:leftFromText="180" w:rightFromText="180" w:vertAnchor="text" w:horzAnchor="margin" w:tblpY="118"/>
        <w:tblW w:w="4975" w:type="dxa"/>
        <w:tblLayout w:type="fixed"/>
        <w:tblLook w:val="01E0"/>
      </w:tblPr>
      <w:tblGrid>
        <w:gridCol w:w="4975"/>
      </w:tblGrid>
      <w:tr w:rsidR="00EB2A64" w:rsidRPr="00542E7D" w:rsidTr="00EB2A64">
        <w:trPr>
          <w:trHeight w:val="2938"/>
        </w:trPr>
        <w:tc>
          <w:tcPr>
            <w:tcW w:w="4975" w:type="dxa"/>
          </w:tcPr>
          <w:p w:rsidR="00EB2A64" w:rsidRPr="00542E7D" w:rsidRDefault="00E96746" w:rsidP="00EB2A64">
            <w:pPr>
              <w:pStyle w:val="PFCBulletedText2"/>
              <w:spacing w:before="120" w:after="0"/>
              <w:ind w:left="0" w:firstLine="0"/>
              <w:jc w:val="left"/>
              <w:rPr>
                <w:noProof/>
                <w:lang w:eastAsia="en-US"/>
              </w:rPr>
            </w:pPr>
            <w:r>
              <w:rPr>
                <w:noProof/>
                <w:lang w:val="fr-FR" w:eastAsia="zh-CN"/>
              </w:rPr>
              <w:lastRenderedPageBreak/>
              <w:drawing>
                <wp:inline distT="0" distB="0" distL="0" distR="0">
                  <wp:extent cx="3019425" cy="2052320"/>
                  <wp:effectExtent l="19050" t="0" r="9525" b="0"/>
                  <wp:docPr id="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3019425" cy="2052320"/>
                          </a:xfrm>
                          <a:prstGeom prst="rect">
                            <a:avLst/>
                          </a:prstGeom>
                          <a:noFill/>
                          <a:ln w="9525">
                            <a:noFill/>
                            <a:miter lim="800000"/>
                            <a:headEnd/>
                            <a:tailEnd/>
                          </a:ln>
                        </pic:spPr>
                      </pic:pic>
                    </a:graphicData>
                  </a:graphic>
                </wp:inline>
              </w:drawing>
            </w:r>
          </w:p>
          <w:p w:rsidR="00EB2A64" w:rsidRPr="00542E7D" w:rsidRDefault="00EB2A64" w:rsidP="00EB2A64">
            <w:pPr>
              <w:pStyle w:val="PFCBulletedText2"/>
              <w:ind w:left="0" w:firstLine="0"/>
              <w:jc w:val="left"/>
              <w:rPr>
                <w:b/>
                <w:sz w:val="18"/>
                <w:szCs w:val="18"/>
              </w:rPr>
            </w:pPr>
            <w:r w:rsidRPr="00542E7D">
              <w:rPr>
                <w:b/>
                <w:sz w:val="18"/>
                <w:szCs w:val="18"/>
              </w:rPr>
              <w:t xml:space="preserve">Figure </w:t>
            </w:r>
            <w:r w:rsidR="00F05256">
              <w:rPr>
                <w:b/>
                <w:sz w:val="18"/>
                <w:szCs w:val="18"/>
              </w:rPr>
              <w:t>3.</w:t>
            </w:r>
            <w:r w:rsidRPr="00542E7D">
              <w:rPr>
                <w:b/>
                <w:sz w:val="18"/>
                <w:szCs w:val="18"/>
              </w:rPr>
              <w:t>1</w:t>
            </w:r>
            <w:r>
              <w:rPr>
                <w:b/>
                <w:sz w:val="18"/>
                <w:szCs w:val="18"/>
              </w:rPr>
              <w:t>1</w:t>
            </w:r>
            <w:r w:rsidRPr="00542E7D">
              <w:rPr>
                <w:b/>
                <w:sz w:val="18"/>
                <w:szCs w:val="18"/>
              </w:rPr>
              <w:t xml:space="preserve">:  Spot and Short-Term Cargo Market Development, 1995-2012 </w:t>
            </w:r>
          </w:p>
          <w:p w:rsidR="00EB2A64" w:rsidRPr="004F04B1" w:rsidRDefault="00EB2A64" w:rsidP="00012D37">
            <w:pPr>
              <w:pStyle w:val="PFCBulletedText2"/>
              <w:ind w:left="0" w:firstLine="0"/>
              <w:jc w:val="left"/>
              <w:rPr>
                <w:i/>
                <w:sz w:val="16"/>
                <w:szCs w:val="16"/>
              </w:rPr>
            </w:pPr>
            <w:r>
              <w:rPr>
                <w:i/>
                <w:sz w:val="16"/>
                <w:szCs w:val="16"/>
              </w:rPr>
              <w:t>Source</w:t>
            </w:r>
            <w:r w:rsidRPr="00542E7D">
              <w:rPr>
                <w:i/>
                <w:sz w:val="16"/>
                <w:szCs w:val="16"/>
              </w:rPr>
              <w:t xml:space="preserve">: </w:t>
            </w:r>
            <w:r>
              <w:rPr>
                <w:i/>
                <w:sz w:val="16"/>
                <w:szCs w:val="16"/>
              </w:rPr>
              <w:t xml:space="preserve"> </w:t>
            </w:r>
            <w:r w:rsidRPr="00542E7D">
              <w:rPr>
                <w:i/>
                <w:sz w:val="16"/>
                <w:szCs w:val="16"/>
              </w:rPr>
              <w:t>Waterborne LNG Reports, US DOE, PFC Energy Global LNG Service</w:t>
            </w:r>
          </w:p>
        </w:tc>
      </w:tr>
    </w:tbl>
    <w:p w:rsidR="00D94626" w:rsidRDefault="00D94626" w:rsidP="00C401C6">
      <w:pPr>
        <w:pStyle w:val="Titre2"/>
        <w:ind w:firstLine="180"/>
        <w:rPr>
          <w:lang w:val="en-GB"/>
        </w:rPr>
      </w:pPr>
      <w:bookmarkStart w:id="12" w:name="_Toc360628233"/>
      <w:r w:rsidRPr="009C3813">
        <w:rPr>
          <w:lang w:val="en-GB"/>
        </w:rPr>
        <w:t>3.</w:t>
      </w:r>
      <w:r w:rsidR="00B471CB">
        <w:rPr>
          <w:lang w:val="en-GB"/>
        </w:rPr>
        <w:t>6</w:t>
      </w:r>
      <w:r w:rsidRPr="009C3813">
        <w:rPr>
          <w:lang w:val="en-GB"/>
        </w:rPr>
        <w:t>. LNG PRICING OVERVIEW</w:t>
      </w:r>
      <w:bookmarkEnd w:id="12"/>
    </w:p>
    <w:p w:rsidR="00D94626" w:rsidRPr="009C3813" w:rsidRDefault="00D94626" w:rsidP="00D94626">
      <w:pPr>
        <w:spacing w:line="252" w:lineRule="auto"/>
        <w:ind w:left="180"/>
        <w:jc w:val="both"/>
        <w:rPr>
          <w:b/>
          <w:color w:val="215A99"/>
          <w:sz w:val="18"/>
          <w:lang w:val="en-GB"/>
        </w:rPr>
      </w:pPr>
    </w:p>
    <w:p w:rsidR="00D94626" w:rsidRPr="00542E7D" w:rsidRDefault="00D94626" w:rsidP="00D94626">
      <w:pPr>
        <w:spacing w:line="252" w:lineRule="auto"/>
        <w:ind w:left="180"/>
        <w:jc w:val="both"/>
        <w:rPr>
          <w:sz w:val="18"/>
          <w:lang w:val="en-GB"/>
        </w:rPr>
      </w:pPr>
      <w:r w:rsidRPr="00CF52ED">
        <w:rPr>
          <w:sz w:val="18"/>
          <w:lang w:val="en-GB"/>
        </w:rPr>
        <w:t xml:space="preserve">After three years of rising prices (except in the US), global price points were largely flat in 2012. From 2009 onwards, </w:t>
      </w:r>
      <w:r w:rsidRPr="00542E7D">
        <w:rPr>
          <w:sz w:val="18"/>
          <w:lang w:val="en-GB"/>
        </w:rPr>
        <w:t xml:space="preserve">the market has shifted from having a demand constraint during the initial period of the Global Economic Crisis to a supply constraint in the wake of the March 2011 Fukushima disaster and due to acceleration of Asian gas demand growth.  </w:t>
      </w:r>
    </w:p>
    <w:p w:rsidR="00D94626" w:rsidRPr="00542E7D" w:rsidRDefault="00D94626" w:rsidP="00D94626">
      <w:pPr>
        <w:spacing w:line="252" w:lineRule="auto"/>
        <w:ind w:left="180"/>
        <w:jc w:val="both"/>
        <w:rPr>
          <w:sz w:val="18"/>
          <w:lang w:val="en-GB"/>
        </w:rPr>
      </w:pPr>
    </w:p>
    <w:p w:rsidR="00D94626" w:rsidRPr="00542E7D" w:rsidRDefault="00D94626" w:rsidP="00D94626">
      <w:pPr>
        <w:spacing w:line="252" w:lineRule="auto"/>
        <w:ind w:left="180"/>
        <w:jc w:val="both"/>
        <w:rPr>
          <w:sz w:val="18"/>
          <w:lang w:val="en-GB"/>
        </w:rPr>
      </w:pPr>
      <w:r w:rsidRPr="00542E7D">
        <w:rPr>
          <w:sz w:val="18"/>
          <w:lang w:val="en-GB"/>
        </w:rPr>
        <w:t>Brent crude prices fell 31.8% between March ($125/b) and June 2012 ($95/b), which translated into a 15.7% decline in Japan’s estimated import price between July and October.  From August 2012 through Q1 2013, Brent has fluctuated sparingly around the $111/b level.  Thus at the close of Q4 2012, the German contract price was relatively flat, owing to the greater lag in the marker’s oil-linkage and the presence of European hub indexing.  This result was notable in the context of further renegotiations between Gazprom and European utilities that took place throughout 2012, which resulted in increased hub-indexation for multiple contracts.</w:t>
      </w:r>
    </w:p>
    <w:p w:rsidR="00D94626" w:rsidRPr="00542E7D" w:rsidRDefault="00D94626" w:rsidP="00D94626">
      <w:pPr>
        <w:spacing w:line="252" w:lineRule="auto"/>
        <w:ind w:left="180"/>
        <w:jc w:val="both"/>
        <w:rPr>
          <w:sz w:val="18"/>
          <w:lang w:val="en-GB"/>
        </w:rPr>
      </w:pPr>
    </w:p>
    <w:p w:rsidR="00D94626" w:rsidRPr="00542E7D" w:rsidRDefault="00D94626" w:rsidP="00D94626">
      <w:pPr>
        <w:pStyle w:val="PFCBodyText"/>
        <w:ind w:left="180"/>
        <w:rPr>
          <w:sz w:val="18"/>
          <w:szCs w:val="18"/>
          <w:lang w:val="en-GB"/>
        </w:rPr>
      </w:pPr>
      <w:r w:rsidRPr="00542E7D">
        <w:rPr>
          <w:sz w:val="18"/>
          <w:szCs w:val="18"/>
          <w:lang w:val="en-GB"/>
        </w:rPr>
        <w:t xml:space="preserve">The inclusion of higher levels of European hub-based indexation into the German contract price contributed to the German contract’s weak performance relative to the purely oil-linked JCC contract in 2012.  </w:t>
      </w:r>
      <w:proofErr w:type="gramStart"/>
      <w:r w:rsidRPr="00542E7D">
        <w:rPr>
          <w:sz w:val="18"/>
          <w:szCs w:val="18"/>
          <w:lang w:val="en-GB"/>
        </w:rPr>
        <w:t>This in turn added momentum to the arguments of European buyers, who see the greater inclusion of hub-based pricing as a critical solution to lowering their gas procurement cost.</w:t>
      </w:r>
      <w:proofErr w:type="gramEnd"/>
      <w:r w:rsidRPr="00542E7D">
        <w:rPr>
          <w:sz w:val="18"/>
          <w:szCs w:val="18"/>
          <w:lang w:val="en-GB"/>
        </w:rPr>
        <w:t xml:space="preserve">  The 2H 2012 performance of NBP – Europe’s most liquid hub – offered an important insight regarding the vulnerabilities of this pro-hub argument.  NBP rallied 24% from seasonally-driven low of $8.53/MMBtu in August to $10.58/MMBtu in December, exposing the hub-based system’s potential for volatility.   Moving into Q1 2013, NBP’s gains to the </w:t>
      </w:r>
      <w:r w:rsidRPr="00542E7D">
        <w:rPr>
          <w:sz w:val="18"/>
          <w:szCs w:val="18"/>
          <w:lang w:val="en-GB"/>
        </w:rPr>
        <w:lastRenderedPageBreak/>
        <w:t xml:space="preserve">$13/MMBtu level also hints at the possibility that hub-based prices could regularly touch points much closer </w:t>
      </w:r>
      <w:r w:rsidR="00E96746">
        <w:rPr>
          <w:sz w:val="18"/>
          <w:szCs w:val="18"/>
          <w:lang w:val="en-GB"/>
        </w:rPr>
        <w:t xml:space="preserve">to </w:t>
      </w:r>
      <w:r w:rsidRPr="00542E7D">
        <w:rPr>
          <w:sz w:val="18"/>
          <w:szCs w:val="18"/>
          <w:lang w:val="en-GB"/>
        </w:rPr>
        <w:t xml:space="preserve">oil-linked prices in the not too distant future. </w:t>
      </w:r>
    </w:p>
    <w:p w:rsidR="00D94626" w:rsidRPr="00542E7D" w:rsidRDefault="00D94626" w:rsidP="00D94626">
      <w:pPr>
        <w:spacing w:line="252" w:lineRule="auto"/>
        <w:ind w:left="180"/>
        <w:jc w:val="both"/>
        <w:rPr>
          <w:sz w:val="18"/>
          <w:lang w:val="en-GB"/>
        </w:rPr>
      </w:pPr>
      <w:r w:rsidRPr="00542E7D">
        <w:rPr>
          <w:sz w:val="18"/>
          <w:lang w:val="en-GB"/>
        </w:rPr>
        <w:t xml:space="preserve">Henry Hub sustained a slight recovery during the second half of 2012 closing the year at $3.34/MMBtu in December.  The market continues to be bearish on the price outlook with current futures prices not consistently surpassing the $4.50/MMBtu mark until beyond 2016.  Although rig counts continued to wane in 2012, gas production proved remarkably stubborn.  Supply was supported by the sustained performance of top-tier wells, as rigs removed from the system had been focused on wells of inferior productivity.  Temperate weather conditions ultimately moderated the call on gas-from-storage in Q4 2012, and this continued into Q1 2013.   </w:t>
      </w:r>
    </w:p>
    <w:tbl>
      <w:tblPr>
        <w:tblpPr w:leftFromText="180" w:rightFromText="180" w:vertAnchor="text" w:horzAnchor="margin" w:tblpXSpec="right" w:tblpY="257"/>
        <w:tblW w:w="4975" w:type="dxa"/>
        <w:tblLayout w:type="fixed"/>
        <w:tblLook w:val="01E0"/>
      </w:tblPr>
      <w:tblGrid>
        <w:gridCol w:w="4975"/>
      </w:tblGrid>
      <w:tr w:rsidR="004F04B1" w:rsidRPr="00A918C1" w:rsidTr="00256D40">
        <w:trPr>
          <w:trHeight w:val="2938"/>
        </w:trPr>
        <w:tc>
          <w:tcPr>
            <w:tcW w:w="4975" w:type="dxa"/>
          </w:tcPr>
          <w:p w:rsidR="004F04B1" w:rsidRDefault="004F04B1" w:rsidP="00256D40">
            <w:pPr>
              <w:pStyle w:val="PFCBulletedText2"/>
              <w:spacing w:before="120" w:after="0"/>
              <w:ind w:left="0" w:firstLine="0"/>
              <w:jc w:val="left"/>
              <w:rPr>
                <w:noProof/>
                <w:lang w:eastAsia="en-US"/>
              </w:rPr>
            </w:pPr>
            <w:r>
              <w:rPr>
                <w:noProof/>
                <w:lang w:val="fr-FR" w:eastAsia="zh-CN"/>
              </w:rPr>
              <w:drawing>
                <wp:inline distT="0" distB="0" distL="0" distR="0">
                  <wp:extent cx="3019425" cy="2076450"/>
                  <wp:effectExtent l="19050" t="0" r="9525"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3019425" cy="2076450"/>
                          </a:xfrm>
                          <a:prstGeom prst="rect">
                            <a:avLst/>
                          </a:prstGeom>
                          <a:noFill/>
                          <a:ln w="9525">
                            <a:noFill/>
                            <a:miter lim="800000"/>
                            <a:headEnd/>
                            <a:tailEnd/>
                          </a:ln>
                        </pic:spPr>
                      </pic:pic>
                    </a:graphicData>
                  </a:graphic>
                </wp:inline>
              </w:drawing>
            </w:r>
          </w:p>
          <w:p w:rsidR="004F04B1" w:rsidRDefault="004F04B1" w:rsidP="00256D40">
            <w:pPr>
              <w:pStyle w:val="PFCBulletedText2"/>
              <w:ind w:left="0" w:firstLine="0"/>
              <w:jc w:val="left"/>
              <w:rPr>
                <w:b/>
                <w:sz w:val="18"/>
                <w:szCs w:val="18"/>
              </w:rPr>
            </w:pPr>
            <w:r>
              <w:rPr>
                <w:b/>
                <w:sz w:val="18"/>
                <w:szCs w:val="18"/>
              </w:rPr>
              <w:t>Figure</w:t>
            </w:r>
            <w:r w:rsidRPr="00C84057">
              <w:rPr>
                <w:b/>
                <w:sz w:val="18"/>
                <w:szCs w:val="18"/>
              </w:rPr>
              <w:t xml:space="preserve"> </w:t>
            </w:r>
            <w:r w:rsidR="00F05256">
              <w:rPr>
                <w:b/>
                <w:sz w:val="18"/>
                <w:szCs w:val="18"/>
              </w:rPr>
              <w:t>3.</w:t>
            </w:r>
            <w:r>
              <w:rPr>
                <w:b/>
                <w:sz w:val="18"/>
                <w:szCs w:val="18"/>
              </w:rPr>
              <w:t>1</w:t>
            </w:r>
            <w:r w:rsidR="00EB2A64">
              <w:rPr>
                <w:b/>
                <w:sz w:val="18"/>
                <w:szCs w:val="18"/>
              </w:rPr>
              <w:t>2</w:t>
            </w:r>
            <w:r>
              <w:rPr>
                <w:b/>
                <w:sz w:val="18"/>
                <w:szCs w:val="18"/>
              </w:rPr>
              <w:t>: Monthly Global Gas Prices</w:t>
            </w:r>
            <w:r w:rsidRPr="00000382">
              <w:rPr>
                <w:b/>
                <w:sz w:val="18"/>
                <w:szCs w:val="18"/>
              </w:rPr>
              <w:t>, 2007-Q1 2013</w:t>
            </w:r>
          </w:p>
          <w:p w:rsidR="004F04B1" w:rsidRPr="00494081" w:rsidRDefault="004F04B1" w:rsidP="00256D40">
            <w:pPr>
              <w:pStyle w:val="PFCBulletedText2"/>
              <w:ind w:left="0" w:firstLine="0"/>
              <w:jc w:val="left"/>
              <w:rPr>
                <w:sz w:val="16"/>
                <w:szCs w:val="16"/>
              </w:rPr>
            </w:pPr>
            <w:r w:rsidRPr="003B0D00">
              <w:rPr>
                <w:i/>
                <w:sz w:val="16"/>
                <w:szCs w:val="16"/>
              </w:rPr>
              <w:t xml:space="preserve">Sources: </w:t>
            </w:r>
            <w:r>
              <w:t xml:space="preserve"> </w:t>
            </w:r>
            <w:r w:rsidRPr="005733C3">
              <w:rPr>
                <w:i/>
                <w:sz w:val="16"/>
                <w:szCs w:val="16"/>
              </w:rPr>
              <w:t xml:space="preserve">Sources: </w:t>
            </w:r>
            <w:proofErr w:type="spellStart"/>
            <w:r w:rsidRPr="005733C3">
              <w:rPr>
                <w:i/>
                <w:sz w:val="16"/>
                <w:szCs w:val="16"/>
              </w:rPr>
              <w:t>Cedigaz</w:t>
            </w:r>
            <w:proofErr w:type="spellEnd"/>
            <w:r w:rsidRPr="005733C3">
              <w:rPr>
                <w:i/>
                <w:sz w:val="16"/>
                <w:szCs w:val="16"/>
              </w:rPr>
              <w:t xml:space="preserve">, </w:t>
            </w:r>
            <w:r>
              <w:rPr>
                <w:i/>
                <w:sz w:val="16"/>
                <w:szCs w:val="16"/>
              </w:rPr>
              <w:t xml:space="preserve">GIIGNL, </w:t>
            </w:r>
            <w:r w:rsidRPr="005733C3">
              <w:rPr>
                <w:i/>
                <w:sz w:val="16"/>
                <w:szCs w:val="16"/>
              </w:rPr>
              <w:t>Waterborne LNG Reports, US DOE, PFC Energy Global LNG Service</w:t>
            </w:r>
          </w:p>
        </w:tc>
      </w:tr>
    </w:tbl>
    <w:p w:rsidR="00D94626" w:rsidRDefault="00D94626" w:rsidP="00D94626">
      <w:pPr>
        <w:spacing w:line="252" w:lineRule="auto"/>
        <w:ind w:left="180"/>
        <w:jc w:val="both"/>
        <w:rPr>
          <w:sz w:val="18"/>
          <w:lang w:val="en-GB"/>
        </w:rPr>
      </w:pPr>
    </w:p>
    <w:p w:rsidR="00D94626" w:rsidRDefault="00D94626" w:rsidP="00D94626">
      <w:pPr>
        <w:spacing w:line="252" w:lineRule="auto"/>
        <w:ind w:left="180"/>
        <w:jc w:val="both"/>
        <w:rPr>
          <w:sz w:val="18"/>
          <w:lang w:val="en-GB"/>
        </w:rPr>
      </w:pPr>
    </w:p>
    <w:p w:rsidR="00D94626" w:rsidRDefault="00D94626" w:rsidP="00D94626">
      <w:pPr>
        <w:widowControl/>
        <w:rPr>
          <w:sz w:val="18"/>
          <w:lang w:val="en-GB"/>
        </w:rPr>
      </w:pPr>
      <w:r>
        <w:rPr>
          <w:sz w:val="18"/>
          <w:lang w:val="en-GB"/>
        </w:rPr>
        <w:br w:type="page"/>
      </w:r>
    </w:p>
    <w:p w:rsidR="00D94626" w:rsidRDefault="00D94626" w:rsidP="00D94626">
      <w:pPr>
        <w:jc w:val="both"/>
        <w:rPr>
          <w:b/>
          <w:i/>
          <w:sz w:val="18"/>
          <w:szCs w:val="22"/>
          <w:lang w:val="en-GB"/>
        </w:rPr>
      </w:pPr>
    </w:p>
    <w:p w:rsidR="00D94626" w:rsidRPr="001D118A" w:rsidRDefault="00073EEA" w:rsidP="00D94626">
      <w:pPr>
        <w:jc w:val="both"/>
        <w:rPr>
          <w:b/>
          <w:i/>
          <w:sz w:val="18"/>
          <w:szCs w:val="22"/>
          <w:lang w:val="en-GB"/>
        </w:rPr>
      </w:pPr>
      <w:r w:rsidRPr="00073EEA">
        <w:rPr>
          <w:noProof/>
          <w:lang w:eastAsia="en-US"/>
        </w:rPr>
        <w:lastRenderedPageBreak/>
        <w:pict>
          <v:shape id="_x0000_s1053" type="#_x0000_t202" style="position:absolute;left:0;text-align:left;margin-left:-19.1pt;margin-top:-4.45pt;width:30pt;height:115.6pt;z-index:251651072;mso-wrap-edited:f;mso-width-relative:margin;mso-height-relative:margin" wrapcoords="0 0 21600 0 21600 21600 0 21600 0 0" filled="f" stroked="f" strokecolor="silver">
            <v:fill o:detectmouseclick="t"/>
            <v:textbox style="layout-flow:vertical;mso-layout-flow-alt:bottom-to-top;mso-next-textbox:#_x0000_s1053" inset=",7.2pt,,7.2pt">
              <w:txbxContent>
                <w:p w:rsidR="00856114" w:rsidRPr="007312CB" w:rsidRDefault="00856114" w:rsidP="00D94626">
                  <w:pPr>
                    <w:pageBreakBefore/>
                    <w:jc w:val="both"/>
                    <w:rPr>
                      <w:b/>
                      <w:i/>
                      <w:color w:val="215A99"/>
                      <w:sz w:val="24"/>
                      <w:szCs w:val="22"/>
                      <w:lang w:val="en-GB"/>
                    </w:rPr>
                  </w:pPr>
                  <w:r w:rsidRPr="007312CB">
                    <w:rPr>
                      <w:b/>
                      <w:i/>
                      <w:color w:val="215A99"/>
                      <w:sz w:val="24"/>
                      <w:szCs w:val="22"/>
                      <w:lang w:val="en-GB"/>
                    </w:rPr>
                    <w:t>Looking Ahead:</w:t>
                  </w:r>
                </w:p>
                <w:p w:rsidR="00856114" w:rsidRPr="007312CB" w:rsidRDefault="00856114" w:rsidP="00D94626">
                  <w:pPr>
                    <w:rPr>
                      <w:color w:val="215A99"/>
                      <w:sz w:val="28"/>
                    </w:rPr>
                  </w:pPr>
                </w:p>
              </w:txbxContent>
            </v:textbox>
            <w10:wrap type="through"/>
          </v:shape>
        </w:pict>
      </w:r>
    </w:p>
    <w:p w:rsidR="00D94626" w:rsidRDefault="00D94626" w:rsidP="00D94626">
      <w:pPr>
        <w:tabs>
          <w:tab w:val="left" w:pos="720"/>
        </w:tabs>
        <w:ind w:left="630"/>
        <w:jc w:val="both"/>
        <w:rPr>
          <w:b/>
          <w:i/>
          <w:color w:val="1B82CE" w:themeColor="accent3"/>
          <w:sz w:val="18"/>
          <w:szCs w:val="22"/>
          <w:lang w:val="en-GB"/>
        </w:rPr>
        <w:sectPr w:rsidR="00D94626" w:rsidSect="00E757B1">
          <w:pgSz w:w="12240" w:h="15840" w:code="1"/>
          <w:pgMar w:top="1728" w:right="1080" w:bottom="1080" w:left="1008" w:header="720" w:footer="504" w:gutter="0"/>
          <w:cols w:num="2" w:space="432"/>
          <w:docGrid w:linePitch="272"/>
        </w:sectPr>
      </w:pPr>
    </w:p>
    <w:p w:rsidR="00D94626" w:rsidRPr="007312CB" w:rsidRDefault="00073EEA" w:rsidP="00D94626">
      <w:pPr>
        <w:tabs>
          <w:tab w:val="left" w:pos="720"/>
        </w:tabs>
        <w:ind w:left="630"/>
        <w:jc w:val="both"/>
        <w:rPr>
          <w:b/>
          <w:i/>
          <w:color w:val="215A99"/>
          <w:sz w:val="18"/>
          <w:szCs w:val="22"/>
          <w:lang w:val="en-GB"/>
        </w:rPr>
      </w:pPr>
      <w:r w:rsidRPr="00073EEA">
        <w:rPr>
          <w:noProof/>
          <w:color w:val="215A99"/>
          <w:lang w:eastAsia="en-US"/>
        </w:rPr>
        <w:pict>
          <v:line id="Straight Connector 3" o:spid="_x0000_s1052" style="position:absolute;left:0;text-align:left;flip:y;z-index:251652096;visibility:visible" from="-4pt,2.6pt" to="-4pt,24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" strokecolor="#215a99" strokeweight="2pt">
            <v:shadow opacity="24903f" origin=",.5" offset="0,.55556mm"/>
          </v:line>
        </w:pict>
      </w:r>
      <w:r w:rsidR="00D94626" w:rsidRPr="007312CB">
        <w:rPr>
          <w:b/>
          <w:i/>
          <w:color w:val="215A99"/>
          <w:sz w:val="18"/>
          <w:szCs w:val="22"/>
          <w:lang w:val="en-GB"/>
        </w:rPr>
        <w:t xml:space="preserve">The LNG market will continue to be </w:t>
      </w:r>
      <w:r w:rsidR="00D94626" w:rsidRPr="00542E7D">
        <w:rPr>
          <w:b/>
          <w:i/>
          <w:color w:val="215A99"/>
          <w:sz w:val="18"/>
          <w:szCs w:val="22"/>
          <w:lang w:val="en-GB"/>
        </w:rPr>
        <w:t>supply constrained</w:t>
      </w:r>
      <w:r w:rsidR="00D94626" w:rsidRPr="007312CB">
        <w:rPr>
          <w:b/>
          <w:i/>
          <w:color w:val="215A99"/>
          <w:sz w:val="18"/>
          <w:szCs w:val="22"/>
          <w:lang w:val="en-GB"/>
        </w:rPr>
        <w:t xml:space="preserve"> at least until 2015: </w:t>
      </w:r>
      <w:r w:rsidR="00D94626" w:rsidRPr="007312CB">
        <w:rPr>
          <w:i/>
          <w:color w:val="215A99"/>
          <w:sz w:val="18"/>
          <w:szCs w:val="22"/>
          <w:lang w:val="en-GB"/>
        </w:rPr>
        <w:t>Few projects are expected to come online in the next few years –</w:t>
      </w:r>
      <w:r w:rsidR="00E96746">
        <w:rPr>
          <w:i/>
          <w:color w:val="215A99"/>
          <w:sz w:val="18"/>
          <w:szCs w:val="22"/>
          <w:lang w:val="en-GB"/>
        </w:rPr>
        <w:t xml:space="preserve"> </w:t>
      </w:r>
      <w:r w:rsidR="00D94626" w:rsidRPr="007312CB">
        <w:rPr>
          <w:i/>
          <w:color w:val="215A99"/>
          <w:sz w:val="18"/>
          <w:szCs w:val="22"/>
          <w:lang w:val="en-GB"/>
        </w:rPr>
        <w:t>Angola LNG</w:t>
      </w:r>
      <w:r w:rsidR="00E96746">
        <w:rPr>
          <w:i/>
          <w:color w:val="215A99"/>
          <w:sz w:val="18"/>
          <w:szCs w:val="22"/>
          <w:lang w:val="en-GB"/>
        </w:rPr>
        <w:t>, PNG LNG, QCLNG T1,</w:t>
      </w:r>
      <w:r w:rsidR="00D94626" w:rsidRPr="007312CB">
        <w:rPr>
          <w:i/>
          <w:color w:val="215A99"/>
          <w:sz w:val="18"/>
          <w:szCs w:val="22"/>
          <w:lang w:val="en-GB"/>
        </w:rPr>
        <w:t xml:space="preserve"> and two small Indonesian projects will add incremental capacity whereas new Algerian trains will offset decommissioning capacity. Qatar already produced </w:t>
      </w:r>
      <w:r w:rsidR="001B55B3">
        <w:rPr>
          <w:i/>
          <w:color w:val="215A99"/>
          <w:sz w:val="18"/>
          <w:szCs w:val="22"/>
          <w:lang w:val="en-GB"/>
        </w:rPr>
        <w:t xml:space="preserve">at </w:t>
      </w:r>
      <w:r w:rsidR="00D94626" w:rsidRPr="007312CB">
        <w:rPr>
          <w:i/>
          <w:color w:val="215A99"/>
          <w:sz w:val="18"/>
          <w:szCs w:val="22"/>
          <w:lang w:val="en-GB"/>
        </w:rPr>
        <w:t xml:space="preserve">nameplate capacity in </w:t>
      </w:r>
      <w:proofErr w:type="gramStart"/>
      <w:r w:rsidR="00D94626" w:rsidRPr="007312CB">
        <w:rPr>
          <w:i/>
          <w:color w:val="215A99"/>
          <w:sz w:val="18"/>
          <w:szCs w:val="22"/>
          <w:lang w:val="en-GB"/>
        </w:rPr>
        <w:t>2012,</w:t>
      </w:r>
      <w:proofErr w:type="gramEnd"/>
      <w:r w:rsidR="00D94626" w:rsidRPr="007312CB">
        <w:rPr>
          <w:i/>
          <w:color w:val="215A99"/>
          <w:sz w:val="18"/>
          <w:szCs w:val="22"/>
          <w:lang w:val="en-GB"/>
        </w:rPr>
        <w:t xml:space="preserve"> and few other projects have room to boost utilization if Southeast Asian and North African projects continue to decline. Between 2015 and 2017, a slew of new Australian projects will come online to meet rising demand in Asia.</w:t>
      </w:r>
      <w:r w:rsidR="00D94626" w:rsidRPr="007312CB">
        <w:rPr>
          <w:b/>
          <w:i/>
          <w:color w:val="215A99"/>
          <w:sz w:val="18"/>
          <w:szCs w:val="22"/>
          <w:lang w:val="en-GB"/>
        </w:rPr>
        <w:t xml:space="preserve">   </w:t>
      </w:r>
    </w:p>
    <w:p w:rsidR="00D94626" w:rsidRPr="007312CB" w:rsidRDefault="00D94626" w:rsidP="00D94626">
      <w:pPr>
        <w:spacing w:line="252" w:lineRule="auto"/>
        <w:ind w:left="180"/>
        <w:jc w:val="both"/>
        <w:rPr>
          <w:b/>
          <w:i/>
          <w:color w:val="215A99"/>
          <w:sz w:val="18"/>
          <w:szCs w:val="22"/>
          <w:lang w:val="en-GB"/>
        </w:rPr>
      </w:pPr>
    </w:p>
    <w:p w:rsidR="00D94626" w:rsidRPr="00542E7D" w:rsidRDefault="00D94626" w:rsidP="00D94626">
      <w:pPr>
        <w:spacing w:line="252" w:lineRule="auto"/>
        <w:ind w:left="630"/>
        <w:rPr>
          <w:i/>
          <w:color w:val="215A99"/>
          <w:sz w:val="18"/>
          <w:szCs w:val="22"/>
          <w:lang w:val="en-GB"/>
        </w:rPr>
      </w:pPr>
      <w:r w:rsidRPr="007312CB">
        <w:rPr>
          <w:b/>
          <w:i/>
          <w:color w:val="215A99"/>
          <w:sz w:val="18"/>
          <w:szCs w:val="22"/>
          <w:lang w:val="en-GB"/>
        </w:rPr>
        <w:t xml:space="preserve">Will there be a change in the willingness to pay for LNG?: </w:t>
      </w:r>
      <w:r w:rsidRPr="007312CB">
        <w:rPr>
          <w:i/>
          <w:color w:val="215A99"/>
          <w:sz w:val="18"/>
          <w:szCs w:val="22"/>
          <w:lang w:val="en-GB"/>
        </w:rPr>
        <w:t xml:space="preserve">While power sector gas demand will continue to drive the regional redistributions of LNG flows in future quarters, the anticipated </w:t>
      </w:r>
      <w:r>
        <w:rPr>
          <w:i/>
          <w:color w:val="215A99"/>
          <w:sz w:val="18"/>
          <w:szCs w:val="22"/>
          <w:lang w:val="en-GB"/>
        </w:rPr>
        <w:t>supply constraint</w:t>
      </w:r>
      <w:r w:rsidRPr="007312CB">
        <w:rPr>
          <w:i/>
          <w:color w:val="215A99"/>
          <w:sz w:val="18"/>
          <w:szCs w:val="22"/>
          <w:lang w:val="en-GB"/>
        </w:rPr>
        <w:t xml:space="preserve"> during 2013 and 2014 may force a number of markets to take a more critical look at the issue of import cost</w:t>
      </w:r>
      <w:r w:rsidR="00E96746">
        <w:rPr>
          <w:i/>
          <w:color w:val="215A99"/>
          <w:sz w:val="18"/>
          <w:szCs w:val="22"/>
          <w:lang w:val="en-GB"/>
        </w:rPr>
        <w:t>, subsidies,</w:t>
      </w:r>
      <w:r w:rsidRPr="007312CB">
        <w:rPr>
          <w:i/>
          <w:color w:val="215A99"/>
          <w:sz w:val="18"/>
          <w:szCs w:val="22"/>
          <w:lang w:val="en-GB"/>
        </w:rPr>
        <w:t xml:space="preserve"> and pricing.    In tandem with a tight supply picture, each market’s ability </w:t>
      </w:r>
      <w:r w:rsidR="00E96746">
        <w:rPr>
          <w:i/>
          <w:color w:val="215A99"/>
          <w:sz w:val="18"/>
          <w:szCs w:val="22"/>
          <w:lang w:val="en-GB"/>
        </w:rPr>
        <w:t xml:space="preserve">and willingness </w:t>
      </w:r>
      <w:r w:rsidRPr="007312CB">
        <w:rPr>
          <w:i/>
          <w:color w:val="215A99"/>
          <w:sz w:val="18"/>
          <w:szCs w:val="22"/>
          <w:lang w:val="en-GB"/>
        </w:rPr>
        <w:t>to pay for LNG and their relative shares of long-term vs. spot supply, may require additional attention.</w:t>
      </w:r>
      <w:r>
        <w:rPr>
          <w:i/>
          <w:color w:val="215A99"/>
          <w:sz w:val="18"/>
          <w:szCs w:val="22"/>
          <w:lang w:val="en-GB"/>
        </w:rPr>
        <w:t xml:space="preserve">  </w:t>
      </w:r>
      <w:r w:rsidRPr="00542E7D">
        <w:rPr>
          <w:i/>
          <w:color w:val="215A99"/>
          <w:sz w:val="18"/>
          <w:szCs w:val="22"/>
          <w:lang w:val="en-GB"/>
        </w:rPr>
        <w:t>Given the economics of small-scale LNG, this emerging tranche of demand may also demonstrate willingness to pay high prices for new supply.</w:t>
      </w:r>
    </w:p>
    <w:p w:rsidR="00D94626" w:rsidRPr="007312CB" w:rsidRDefault="00D94626" w:rsidP="00D94626">
      <w:pPr>
        <w:spacing w:line="252" w:lineRule="auto"/>
        <w:ind w:left="630"/>
        <w:jc w:val="both"/>
        <w:rPr>
          <w:b/>
          <w:i/>
          <w:color w:val="215A99"/>
          <w:sz w:val="18"/>
          <w:szCs w:val="22"/>
          <w:lang w:val="en-GB"/>
        </w:rPr>
      </w:pPr>
    </w:p>
    <w:p w:rsidR="00D94626" w:rsidRPr="007312CB" w:rsidRDefault="00D94626" w:rsidP="00D94626">
      <w:pPr>
        <w:spacing w:line="252" w:lineRule="auto"/>
        <w:ind w:left="630"/>
        <w:jc w:val="both"/>
        <w:rPr>
          <w:i/>
          <w:color w:val="215A99"/>
          <w:sz w:val="18"/>
          <w:szCs w:val="22"/>
          <w:lang w:val="en-GB"/>
        </w:rPr>
      </w:pPr>
      <w:r w:rsidRPr="007312CB">
        <w:rPr>
          <w:b/>
          <w:i/>
          <w:color w:val="215A99"/>
          <w:sz w:val="18"/>
          <w:szCs w:val="22"/>
          <w:lang w:val="en-GB"/>
        </w:rPr>
        <w:t xml:space="preserve">Smaller LNG consumers continue to collectively rival top importers: </w:t>
      </w:r>
      <w:r w:rsidRPr="007312CB">
        <w:rPr>
          <w:i/>
          <w:color w:val="215A99"/>
          <w:sz w:val="18"/>
          <w:szCs w:val="22"/>
          <w:lang w:val="en-GB"/>
        </w:rPr>
        <w:t xml:space="preserve"> In 2013 and 2014, four more markets will begin importing – Israel, Malaysia, Singapore, and Lithuania.  With the addition of these markets, there will be 15 new markets that did not import before 2005.  </w:t>
      </w:r>
    </w:p>
    <w:p w:rsidR="00D94626" w:rsidRPr="007312CB" w:rsidRDefault="00D94626" w:rsidP="00D94626">
      <w:pPr>
        <w:spacing w:line="252" w:lineRule="auto"/>
        <w:ind w:left="630"/>
        <w:jc w:val="both"/>
        <w:rPr>
          <w:b/>
          <w:i/>
          <w:color w:val="215A99"/>
          <w:sz w:val="18"/>
          <w:szCs w:val="22"/>
          <w:lang w:val="en-GB"/>
        </w:rPr>
      </w:pPr>
    </w:p>
    <w:p w:rsidR="00D94626" w:rsidRDefault="00D94626" w:rsidP="00D94626">
      <w:pPr>
        <w:spacing w:line="252" w:lineRule="auto"/>
        <w:ind w:left="630"/>
        <w:jc w:val="both"/>
        <w:rPr>
          <w:b/>
          <w:i/>
          <w:color w:val="215A99"/>
          <w:sz w:val="18"/>
          <w:szCs w:val="22"/>
          <w:lang w:val="en-GB"/>
        </w:rPr>
      </w:pPr>
      <w:r w:rsidRPr="007312CB">
        <w:rPr>
          <w:b/>
          <w:i/>
          <w:color w:val="215A99"/>
          <w:sz w:val="18"/>
          <w:szCs w:val="22"/>
          <w:lang w:val="en-GB"/>
        </w:rPr>
        <w:t xml:space="preserve">Short-term volumes to become more attractive: </w:t>
      </w:r>
      <w:r w:rsidRPr="007312CB">
        <w:rPr>
          <w:i/>
          <w:color w:val="215A99"/>
          <w:sz w:val="18"/>
          <w:szCs w:val="22"/>
          <w:lang w:val="en-GB"/>
        </w:rPr>
        <w:t>Japan’s nuclear situation will be the major determinant of spot and short-term volumes over the next couple of years.  Thus far only two nuclear reactors are back online, resulting in a major power generation gap that has been mostly been made up for by LNG. If European LNG demand continues to be weak, Asian and South American markets have proved a willingness to pay for more expensive cargoes above their long-term contracts.</w:t>
      </w:r>
      <w:r w:rsidRPr="007312CB">
        <w:rPr>
          <w:b/>
          <w:i/>
          <w:color w:val="215A99"/>
          <w:sz w:val="18"/>
          <w:szCs w:val="22"/>
          <w:lang w:val="en-GB"/>
        </w:rPr>
        <w:t xml:space="preserve">  </w:t>
      </w:r>
    </w:p>
    <w:p w:rsidR="00766BE0" w:rsidRDefault="00766BE0" w:rsidP="00D94626">
      <w:pPr>
        <w:spacing w:line="252" w:lineRule="auto"/>
        <w:ind w:left="630"/>
        <w:jc w:val="both"/>
        <w:rPr>
          <w:sz w:val="18"/>
          <w:lang w:val="en-GB"/>
        </w:rPr>
      </w:pPr>
    </w:p>
    <w:p w:rsidR="005A11A2" w:rsidRDefault="005A11A2" w:rsidP="00D94626">
      <w:pPr>
        <w:spacing w:line="252" w:lineRule="auto"/>
        <w:ind w:left="630"/>
        <w:jc w:val="both"/>
        <w:rPr>
          <w:sz w:val="18"/>
          <w:lang w:val="en-GB"/>
        </w:rPr>
      </w:pPr>
    </w:p>
    <w:p w:rsidR="005A11A2" w:rsidRDefault="005A11A2" w:rsidP="00D94626">
      <w:pPr>
        <w:spacing w:line="252" w:lineRule="auto"/>
        <w:ind w:left="630"/>
        <w:jc w:val="both"/>
        <w:rPr>
          <w:sz w:val="18"/>
          <w:lang w:val="en-GB"/>
        </w:rPr>
      </w:pPr>
    </w:p>
    <w:p w:rsidR="005A11A2" w:rsidRDefault="005A11A2" w:rsidP="005A11A2">
      <w:pPr>
        <w:spacing w:line="252" w:lineRule="auto"/>
        <w:jc w:val="both"/>
        <w:rPr>
          <w:sz w:val="18"/>
          <w:lang w:val="en-GB"/>
        </w:rPr>
        <w:sectPr w:rsidR="005A11A2" w:rsidSect="00766BE0">
          <w:type w:val="continuous"/>
          <w:pgSz w:w="12240" w:h="15840" w:code="1"/>
          <w:pgMar w:top="1728" w:right="1080" w:bottom="1080" w:left="1008" w:header="720" w:footer="504" w:gutter="0"/>
          <w:cols w:space="432"/>
          <w:titlePg/>
          <w:docGrid w:linePitch="272"/>
        </w:sectPr>
      </w:pPr>
    </w:p>
    <w:p w:rsidR="00766BE0" w:rsidRDefault="00766BE0" w:rsidP="00E96746">
      <w:pPr>
        <w:spacing w:line="252" w:lineRule="auto"/>
        <w:rPr>
          <w:sz w:val="18"/>
          <w:lang w:val="en-GB"/>
        </w:rPr>
      </w:pPr>
    </w:p>
    <w:p w:rsidR="003843DC" w:rsidRDefault="003843DC" w:rsidP="0042488A">
      <w:pPr>
        <w:spacing w:line="252" w:lineRule="auto"/>
        <w:ind w:left="630"/>
        <w:jc w:val="center"/>
        <w:rPr>
          <w:sz w:val="18"/>
          <w:lang w:val="en-GB"/>
        </w:rPr>
        <w:sectPr w:rsidR="003843DC" w:rsidSect="00766BE0">
          <w:type w:val="continuous"/>
          <w:pgSz w:w="12240" w:h="15840" w:code="1"/>
          <w:pgMar w:top="1728" w:right="1080" w:bottom="1080" w:left="1008" w:header="720" w:footer="504" w:gutter="0"/>
          <w:cols w:space="432"/>
          <w:titlePg/>
          <w:docGrid w:linePitch="272"/>
        </w:sectPr>
      </w:pPr>
    </w:p>
    <w:p w:rsidR="00D94626" w:rsidRPr="00564DBB" w:rsidRDefault="00073EEA" w:rsidP="0042488A">
      <w:pPr>
        <w:spacing w:line="252" w:lineRule="auto"/>
        <w:ind w:left="630"/>
        <w:jc w:val="center"/>
        <w:rPr>
          <w:sz w:val="18"/>
          <w:lang w:val="en-GB"/>
        </w:rPr>
      </w:pPr>
      <w:r w:rsidRPr="00073EEA">
        <w:rPr>
          <w:noProof/>
          <w:sz w:val="18"/>
          <w:lang w:eastAsia="en-US"/>
        </w:rPr>
        <w:lastRenderedPageBreak/>
        <w:pict>
          <v:shape id="_x0000_s1095" type="#_x0000_t202" style="position:absolute;left:0;text-align:left;margin-left:425.7pt;margin-top:310.8pt;width:103.95pt;height:15pt;z-index:251681792;mso-width-relative:margin;mso-height-relative:margin" filled="f" stroked="f" strokecolor="silver">
            <v:textbox>
              <w:txbxContent>
                <w:p w:rsidR="00856114" w:rsidRPr="00120C1A" w:rsidRDefault="00856114" w:rsidP="0042488A">
                  <w:pPr>
                    <w:rPr>
                      <w:color w:val="FFFFFF" w:themeColor="background1"/>
                      <w:sz w:val="12"/>
                      <w:szCs w:val="12"/>
                    </w:rPr>
                  </w:pPr>
                  <w:r w:rsidRPr="00120C1A">
                    <w:rPr>
                      <w:color w:val="FFFFFF" w:themeColor="background1"/>
                      <w:sz w:val="12"/>
                      <w:szCs w:val="12"/>
                    </w:rPr>
                    <w:t>© Gonzalez Thierry / TOTAL</w:t>
                  </w:r>
                </w:p>
              </w:txbxContent>
            </v:textbox>
          </v:shape>
        </w:pict>
      </w:r>
      <w:r w:rsidR="008E1041" w:rsidRPr="00073EEA">
        <w:rPr>
          <w:sz w:val="18"/>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8pt;height:337.25pt">
            <v:imagedata r:id="rId29" o:title="G53425 (3)"/>
          </v:shape>
        </w:pict>
      </w:r>
    </w:p>
    <w:p w:rsidR="00D94626" w:rsidRDefault="0042488A" w:rsidP="0042488A">
      <w:pPr>
        <w:widowControl/>
        <w:rPr>
          <w:sz w:val="18"/>
          <w:lang w:val="en-GB"/>
        </w:rPr>
      </w:pPr>
      <w:r>
        <w:rPr>
          <w:sz w:val="18"/>
          <w:lang w:val="en-GB"/>
        </w:rPr>
        <w:tab/>
        <w:t xml:space="preserve">Storage Tanks at Yemen LNG, </w:t>
      </w:r>
      <w:proofErr w:type="spellStart"/>
      <w:r>
        <w:rPr>
          <w:sz w:val="18"/>
          <w:lang w:val="en-GB"/>
        </w:rPr>
        <w:t>Balhaf</w:t>
      </w:r>
      <w:proofErr w:type="spellEnd"/>
      <w:r>
        <w:rPr>
          <w:sz w:val="18"/>
          <w:lang w:val="en-GB"/>
        </w:rPr>
        <w:t>, Yemen</w:t>
      </w:r>
    </w:p>
    <w:p w:rsidR="00766BE0" w:rsidRPr="00627EEA" w:rsidRDefault="00766BE0" w:rsidP="0042488A">
      <w:pPr>
        <w:pStyle w:val="Titre1"/>
      </w:pPr>
      <w:bookmarkStart w:id="13" w:name="_Toc360628234"/>
      <w:r w:rsidRPr="00627EEA">
        <w:lastRenderedPageBreak/>
        <w:t>4.  Liquefaction Plants</w:t>
      </w:r>
      <w:bookmarkEnd w:id="13"/>
    </w:p>
    <w:p w:rsidR="00766BE0" w:rsidRDefault="00766BE0" w:rsidP="00766BE0">
      <w:pPr>
        <w:spacing w:line="252" w:lineRule="auto"/>
        <w:ind w:left="180"/>
        <w:jc w:val="both"/>
        <w:rPr>
          <w:color w:val="141313" w:themeColor="text1"/>
          <w:sz w:val="18"/>
          <w:szCs w:val="22"/>
          <w:lang w:val="en-GB"/>
        </w:rPr>
        <w:sectPr w:rsidR="00766BE0" w:rsidSect="00766BE0">
          <w:headerReference w:type="default" r:id="rId30"/>
          <w:headerReference w:type="first" r:id="rId31"/>
          <w:type w:val="continuous"/>
          <w:pgSz w:w="12240" w:h="15840" w:code="1"/>
          <w:pgMar w:top="1728" w:right="1080" w:bottom="1080" w:left="1008" w:header="720" w:footer="504" w:gutter="0"/>
          <w:cols w:space="720"/>
          <w:docGrid w:linePitch="272"/>
        </w:sectPr>
      </w:pPr>
    </w:p>
    <w:p w:rsidR="00766BE0" w:rsidRDefault="00766BE0" w:rsidP="00766BE0">
      <w:pPr>
        <w:spacing w:after="120" w:line="252" w:lineRule="auto"/>
        <w:jc w:val="both"/>
        <w:rPr>
          <w:b/>
          <w:i/>
          <w:color w:val="215A99"/>
          <w:sz w:val="18"/>
          <w:szCs w:val="22"/>
          <w:lang w:val="en-GB"/>
        </w:rPr>
      </w:pPr>
      <w:r w:rsidRPr="00A421DD">
        <w:rPr>
          <w:b/>
          <w:i/>
          <w:color w:val="215A99"/>
          <w:sz w:val="18"/>
          <w:szCs w:val="22"/>
          <w:lang w:val="en-GB"/>
        </w:rPr>
        <w:lastRenderedPageBreak/>
        <w:t>Qatar holds more than 27% of global liquefaction capacity. The majority of near-term growth in liquefaction capacity is expected from Australia, though considerable momentum has built up around projects in North America and other frontier regions.</w:t>
      </w:r>
    </w:p>
    <w:p w:rsidR="00766BE0" w:rsidRDefault="00766BE0" w:rsidP="00766BE0">
      <w:pPr>
        <w:spacing w:after="120" w:line="252" w:lineRule="auto"/>
        <w:jc w:val="both"/>
        <w:rPr>
          <w:i/>
          <w:color w:val="215A99"/>
          <w:sz w:val="18"/>
          <w:szCs w:val="22"/>
          <w:lang w:val="en-GB"/>
        </w:rPr>
      </w:pPr>
      <w:r w:rsidRPr="00A421DD">
        <w:rPr>
          <w:i/>
          <w:color w:val="215A99"/>
          <w:sz w:val="18"/>
          <w:szCs w:val="22"/>
          <w:lang w:val="en-GB"/>
        </w:rPr>
        <w:t xml:space="preserve">After the commissioning of its final mega-train in early 2011, Qatar’s role as the driver of liquefaction capacity growth in recent years has faded. Taking its place is Australia, where projects currently under construction account for 64% of all projects that have reached FID – representing 62 </w:t>
      </w:r>
      <w:r>
        <w:rPr>
          <w:i/>
          <w:color w:val="215A99"/>
          <w:sz w:val="18"/>
          <w:szCs w:val="22"/>
          <w:lang w:val="en-GB"/>
        </w:rPr>
        <w:t>MTPA</w:t>
      </w:r>
      <w:r w:rsidRPr="00A421DD">
        <w:rPr>
          <w:i/>
          <w:color w:val="215A99"/>
          <w:sz w:val="18"/>
          <w:szCs w:val="22"/>
          <w:lang w:val="en-GB"/>
        </w:rPr>
        <w:t xml:space="preserve"> of capacity. The expansion of shale gas production in North America has reversed the LNG outlook for the continent and led to a surge in the number of proposed liquefaction projects, though most</w:t>
      </w:r>
      <w:r w:rsidR="00350FA9">
        <w:rPr>
          <w:i/>
          <w:color w:val="215A99"/>
          <w:sz w:val="18"/>
          <w:szCs w:val="22"/>
          <w:lang w:val="en-GB"/>
        </w:rPr>
        <w:t xml:space="preserve"> are </w:t>
      </w:r>
      <w:r w:rsidR="00350FA9" w:rsidRPr="00E96746">
        <w:rPr>
          <w:i/>
          <w:color w:val="215A99"/>
          <w:sz w:val="18"/>
          <w:szCs w:val="22"/>
          <w:lang w:val="en-GB"/>
        </w:rPr>
        <w:t>less advanced</w:t>
      </w:r>
      <w:r w:rsidRPr="00A421DD">
        <w:rPr>
          <w:i/>
          <w:color w:val="215A99"/>
          <w:sz w:val="18"/>
          <w:szCs w:val="22"/>
          <w:lang w:val="en-GB"/>
        </w:rPr>
        <w:t xml:space="preserve"> than pr</w:t>
      </w:r>
      <w:r>
        <w:rPr>
          <w:i/>
          <w:color w:val="215A99"/>
          <w:sz w:val="18"/>
          <w:szCs w:val="22"/>
          <w:lang w:val="en-GB"/>
        </w:rPr>
        <w:t xml:space="preserve">ojects in Australia. </w:t>
      </w:r>
      <w:r w:rsidRPr="008C2DD6">
        <w:rPr>
          <w:i/>
          <w:color w:val="215A99"/>
          <w:sz w:val="18"/>
          <w:szCs w:val="22"/>
          <w:lang w:val="en-GB"/>
        </w:rPr>
        <w:t xml:space="preserve">Of the 508 </w:t>
      </w:r>
      <w:r>
        <w:rPr>
          <w:i/>
          <w:color w:val="215A99"/>
          <w:sz w:val="18"/>
          <w:szCs w:val="22"/>
          <w:lang w:val="en-GB"/>
        </w:rPr>
        <w:t>MTPA</w:t>
      </w:r>
      <w:r w:rsidRPr="008C2DD6">
        <w:rPr>
          <w:i/>
          <w:color w:val="215A99"/>
          <w:sz w:val="18"/>
          <w:szCs w:val="22"/>
          <w:lang w:val="en-GB"/>
        </w:rPr>
        <w:t xml:space="preserve"> of</w:t>
      </w:r>
      <w:r>
        <w:rPr>
          <w:i/>
          <w:color w:val="215A99"/>
          <w:sz w:val="18"/>
          <w:szCs w:val="22"/>
          <w:lang w:val="en-GB"/>
        </w:rPr>
        <w:t xml:space="preserve"> proposed </w:t>
      </w:r>
      <w:r w:rsidRPr="008C2DD6">
        <w:rPr>
          <w:i/>
          <w:color w:val="215A99"/>
          <w:sz w:val="18"/>
          <w:szCs w:val="22"/>
          <w:lang w:val="en-GB"/>
        </w:rPr>
        <w:t>pre-FID projects, 43% are</w:t>
      </w:r>
      <w:r w:rsidRPr="00A421DD">
        <w:rPr>
          <w:i/>
          <w:color w:val="215A99"/>
          <w:sz w:val="18"/>
          <w:szCs w:val="22"/>
          <w:lang w:val="en-GB"/>
        </w:rPr>
        <w:t xml:space="preserve"> in the United States and 25% are in Canada</w:t>
      </w:r>
      <w:r>
        <w:rPr>
          <w:i/>
          <w:color w:val="215A99"/>
          <w:sz w:val="18"/>
          <w:szCs w:val="22"/>
          <w:lang w:val="en-GB"/>
        </w:rPr>
        <w:t xml:space="preserve">; </w:t>
      </w:r>
      <w:r w:rsidRPr="0060385A">
        <w:rPr>
          <w:i/>
          <w:color w:val="215A99"/>
          <w:sz w:val="18"/>
          <w:szCs w:val="22"/>
          <w:lang w:val="en-GB"/>
        </w:rPr>
        <w:t xml:space="preserve">although some of these projects are expected to materialize, it is likely that a significant number will not be built. </w:t>
      </w:r>
      <w:r w:rsidRPr="00A421DD">
        <w:rPr>
          <w:i/>
          <w:color w:val="215A99"/>
          <w:sz w:val="18"/>
          <w:szCs w:val="22"/>
          <w:lang w:val="en-GB"/>
        </w:rPr>
        <w:t>New gas discoveries in East Africa and Eastern Mediterranean have also spurred proposals, but considerable risk abounds these untested regions.</w:t>
      </w:r>
      <w:r w:rsidRPr="009604EB">
        <w:rPr>
          <w:i/>
          <w:color w:val="215A99"/>
          <w:sz w:val="18"/>
          <w:szCs w:val="22"/>
          <w:lang w:val="en-GB"/>
        </w:rPr>
        <w:t xml:space="preserve">  </w:t>
      </w:r>
    </w:p>
    <w:p w:rsidR="00766BE0" w:rsidRPr="00564DBB" w:rsidRDefault="00766BE0" w:rsidP="00766BE0">
      <w:pPr>
        <w:spacing w:after="120" w:line="252" w:lineRule="auto"/>
        <w:jc w:val="both"/>
        <w:rPr>
          <w:i/>
          <w:color w:val="215A99"/>
          <w:sz w:val="18"/>
          <w:szCs w:val="22"/>
          <w:lang w:val="en-GB"/>
        </w:rPr>
        <w:sectPr w:rsidR="00766BE0" w:rsidRPr="00564DBB" w:rsidSect="00E757B1">
          <w:type w:val="continuous"/>
          <w:pgSz w:w="12240" w:h="15840" w:code="1"/>
          <w:pgMar w:top="1728" w:right="1080" w:bottom="1080" w:left="1008" w:header="720" w:footer="504" w:gutter="0"/>
          <w:cols w:space="432"/>
          <w:titlePg/>
          <w:docGrid w:linePitch="272"/>
        </w:sectPr>
      </w:pPr>
    </w:p>
    <w:p w:rsidR="00766BE0" w:rsidRDefault="00766BE0" w:rsidP="00C401C6">
      <w:pPr>
        <w:pStyle w:val="Titre2"/>
        <w:ind w:firstLine="180"/>
        <w:rPr>
          <w:lang w:val="en-GB"/>
        </w:rPr>
      </w:pPr>
      <w:bookmarkStart w:id="14" w:name="_Toc360628235"/>
      <w:r>
        <w:rPr>
          <w:lang w:val="en-GB"/>
        </w:rPr>
        <w:lastRenderedPageBreak/>
        <w:t>4</w:t>
      </w:r>
      <w:r w:rsidRPr="00564DBB">
        <w:rPr>
          <w:lang w:val="en-GB"/>
        </w:rPr>
        <w:t>.1. OVERVIEW</w:t>
      </w:r>
      <w:bookmarkEnd w:id="14"/>
    </w:p>
    <w:p w:rsidR="00766BE0" w:rsidRPr="00564DBB" w:rsidRDefault="00766BE0" w:rsidP="00766BE0">
      <w:pPr>
        <w:spacing w:line="252" w:lineRule="auto"/>
        <w:ind w:left="180"/>
        <w:jc w:val="both"/>
        <w:rPr>
          <w:b/>
          <w:color w:val="215A99"/>
          <w:sz w:val="18"/>
          <w:lang w:val="en-GB"/>
        </w:rPr>
      </w:pPr>
    </w:p>
    <w:p w:rsidR="00766BE0" w:rsidRDefault="00766BE0" w:rsidP="00766BE0">
      <w:pPr>
        <w:spacing w:line="252" w:lineRule="auto"/>
        <w:ind w:left="180"/>
        <w:jc w:val="both"/>
        <w:rPr>
          <w:sz w:val="18"/>
          <w:lang w:val="en-GB"/>
        </w:rPr>
      </w:pPr>
      <w:r>
        <w:rPr>
          <w:sz w:val="18"/>
          <w:lang w:val="en-GB"/>
        </w:rPr>
        <w:t xml:space="preserve">At the end of 2012, global nameplate </w:t>
      </w:r>
      <w:r w:rsidRPr="008C2DD6">
        <w:rPr>
          <w:sz w:val="18"/>
          <w:lang w:val="en-GB"/>
        </w:rPr>
        <w:t xml:space="preserve">liquefaction capacity stood at 280.9 </w:t>
      </w:r>
      <w:r>
        <w:rPr>
          <w:sz w:val="18"/>
          <w:lang w:val="en-GB"/>
        </w:rPr>
        <w:t>MTPA</w:t>
      </w:r>
      <w:r w:rsidRPr="008C2DD6">
        <w:rPr>
          <w:sz w:val="18"/>
          <w:lang w:val="en-GB"/>
        </w:rPr>
        <w:t xml:space="preserve"> from 92 trains </w:t>
      </w:r>
      <w:r w:rsidRPr="00E96746">
        <w:rPr>
          <w:sz w:val="18"/>
          <w:lang w:val="en-GB"/>
        </w:rPr>
        <w:t>in 17 countries</w:t>
      </w:r>
      <w:r w:rsidRPr="00E96746">
        <w:rPr>
          <w:rStyle w:val="Appelnotedebasdep"/>
          <w:sz w:val="18"/>
          <w:lang w:val="en-GB"/>
        </w:rPr>
        <w:footnoteReference w:id="2"/>
      </w:r>
      <w:r w:rsidRPr="00E96746">
        <w:rPr>
          <w:sz w:val="18"/>
          <w:lang w:val="en-GB"/>
        </w:rPr>
        <w:t>. Only one project was commissioned in 2012 – the 4.3 MTPA Pluto LNG in Australia, which came on</w:t>
      </w:r>
      <w:r w:rsidR="00350FA9" w:rsidRPr="00E96746">
        <w:rPr>
          <w:sz w:val="18"/>
          <w:lang w:val="en-GB"/>
        </w:rPr>
        <w:t>-</w:t>
      </w:r>
      <w:r w:rsidRPr="00E96746">
        <w:rPr>
          <w:sz w:val="18"/>
          <w:lang w:val="en-GB"/>
        </w:rPr>
        <w:t>stream</w:t>
      </w:r>
      <w:r w:rsidRPr="008C2DD6">
        <w:rPr>
          <w:sz w:val="18"/>
          <w:lang w:val="en-GB"/>
        </w:rPr>
        <w:t xml:space="preserve"> in late April. </w:t>
      </w:r>
    </w:p>
    <w:p w:rsidR="00766BE0"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8C2DD6">
        <w:rPr>
          <w:sz w:val="18"/>
          <w:lang w:val="en-GB"/>
        </w:rPr>
        <w:t xml:space="preserve">The 5.2 </w:t>
      </w:r>
      <w:r>
        <w:rPr>
          <w:sz w:val="18"/>
          <w:lang w:val="en-GB"/>
        </w:rPr>
        <w:t>MTPA</w:t>
      </w:r>
      <w:r w:rsidRPr="008C2DD6">
        <w:rPr>
          <w:sz w:val="18"/>
          <w:lang w:val="en-GB"/>
        </w:rPr>
        <w:t xml:space="preserve"> Angola LNG T1 was originally intended to begin commercial operations in mid-2012, but commissioning has been delayed as the project faces technical issues. The Angolan project is the country’s first and its completion will bring the number of countries with liquefaction capacity back up to 18 after the loss of capacity in Libya in 2012. </w:t>
      </w:r>
    </w:p>
    <w:p w:rsidR="00766BE0" w:rsidRDefault="00766BE0" w:rsidP="00766BE0">
      <w:pPr>
        <w:spacing w:line="252" w:lineRule="auto"/>
        <w:ind w:left="180"/>
        <w:jc w:val="both"/>
        <w:rPr>
          <w:sz w:val="18"/>
          <w:lang w:val="en-GB"/>
        </w:rPr>
      </w:pPr>
    </w:p>
    <w:tbl>
      <w:tblPr>
        <w:tblpPr w:leftFromText="180" w:rightFromText="180" w:vertAnchor="text" w:horzAnchor="margin" w:tblpYSpec="inside"/>
        <w:tblW w:w="4975" w:type="dxa"/>
        <w:tblLayout w:type="fixed"/>
        <w:tblLook w:val="01E0"/>
      </w:tblPr>
      <w:tblGrid>
        <w:gridCol w:w="4975"/>
      </w:tblGrid>
      <w:tr w:rsidR="00766BE0" w:rsidRPr="00A918C1" w:rsidTr="00E757B1">
        <w:trPr>
          <w:trHeight w:val="2938"/>
        </w:trPr>
        <w:tc>
          <w:tcPr>
            <w:tcW w:w="4975" w:type="dxa"/>
          </w:tcPr>
          <w:p w:rsidR="00766BE0" w:rsidRDefault="00766BE0" w:rsidP="00E757B1">
            <w:pPr>
              <w:pStyle w:val="PFCBulletedText2"/>
              <w:spacing w:before="120" w:after="0"/>
              <w:ind w:left="0" w:firstLine="0"/>
              <w:jc w:val="left"/>
              <w:rPr>
                <w:noProof/>
                <w:lang w:eastAsia="en-US"/>
              </w:rPr>
            </w:pPr>
            <w:r>
              <w:rPr>
                <w:noProof/>
                <w:lang w:val="fr-FR" w:eastAsia="zh-CN"/>
              </w:rPr>
              <w:drawing>
                <wp:inline distT="0" distB="0" distL="0" distR="0">
                  <wp:extent cx="3019425" cy="2124075"/>
                  <wp:effectExtent l="19050" t="0" r="9525"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3019425" cy="2124075"/>
                          </a:xfrm>
                          <a:prstGeom prst="rect">
                            <a:avLst/>
                          </a:prstGeom>
                          <a:noFill/>
                          <a:ln w="9525">
                            <a:noFill/>
                            <a:miter lim="800000"/>
                            <a:headEnd/>
                            <a:tailEnd/>
                          </a:ln>
                        </pic:spPr>
                      </pic:pic>
                    </a:graphicData>
                  </a:graphic>
                </wp:inline>
              </w:drawing>
            </w:r>
          </w:p>
          <w:p w:rsidR="00766BE0" w:rsidRPr="0060385A" w:rsidRDefault="00766BE0" w:rsidP="00E757B1">
            <w:pPr>
              <w:pStyle w:val="PFCBulletedText2"/>
              <w:ind w:left="0" w:firstLine="0"/>
              <w:jc w:val="left"/>
              <w:rPr>
                <w:b/>
                <w:sz w:val="18"/>
                <w:szCs w:val="18"/>
              </w:rPr>
            </w:pPr>
            <w:r w:rsidRPr="0060385A">
              <w:rPr>
                <w:b/>
                <w:sz w:val="18"/>
                <w:szCs w:val="18"/>
              </w:rPr>
              <w:t xml:space="preserve">Figure </w:t>
            </w:r>
            <w:r w:rsidR="00F05256">
              <w:rPr>
                <w:b/>
                <w:sz w:val="18"/>
                <w:szCs w:val="18"/>
              </w:rPr>
              <w:t>4.</w:t>
            </w:r>
            <w:r w:rsidRPr="0060385A">
              <w:rPr>
                <w:b/>
                <w:sz w:val="18"/>
                <w:szCs w:val="18"/>
              </w:rPr>
              <w:t xml:space="preserve">1:  Nominal Liquefaction Capacity by Status and Region, as of Q2 2013      </w:t>
            </w:r>
          </w:p>
          <w:p w:rsidR="00766BE0" w:rsidRPr="0060385A" w:rsidRDefault="00766BE0" w:rsidP="00E757B1">
            <w:pPr>
              <w:pStyle w:val="PFCBulletedText2"/>
              <w:ind w:left="0" w:firstLine="0"/>
              <w:jc w:val="left"/>
              <w:rPr>
                <w:i/>
                <w:sz w:val="16"/>
                <w:szCs w:val="16"/>
              </w:rPr>
            </w:pPr>
            <w:r w:rsidRPr="0060385A">
              <w:rPr>
                <w:i/>
                <w:sz w:val="16"/>
                <w:szCs w:val="16"/>
              </w:rPr>
              <w:t xml:space="preserve">*Note: “FID” does not include the 10.8 MTPA announced to be under construction in Iran, nor is the project included in totals elsewhere in the document.   </w:t>
            </w:r>
          </w:p>
          <w:p w:rsidR="00766BE0" w:rsidRPr="002055A2" w:rsidRDefault="00766BE0" w:rsidP="00E757B1">
            <w:pPr>
              <w:pStyle w:val="PFCBulletedText2"/>
              <w:ind w:left="0" w:firstLine="0"/>
              <w:jc w:val="left"/>
              <w:rPr>
                <w:b/>
                <w:sz w:val="18"/>
                <w:szCs w:val="18"/>
              </w:rPr>
            </w:pPr>
            <w:r w:rsidRPr="0060385A">
              <w:rPr>
                <w:i/>
                <w:sz w:val="16"/>
                <w:szCs w:val="16"/>
              </w:rPr>
              <w:t xml:space="preserve"> Sources: PFC Energy Global</w:t>
            </w:r>
            <w:r w:rsidRPr="005733C3">
              <w:rPr>
                <w:i/>
                <w:sz w:val="16"/>
                <w:szCs w:val="16"/>
              </w:rPr>
              <w:t xml:space="preserve"> LNG Service</w:t>
            </w:r>
            <w:r>
              <w:rPr>
                <w:i/>
                <w:sz w:val="16"/>
                <w:szCs w:val="16"/>
              </w:rPr>
              <w:t>, Company Announcements</w:t>
            </w:r>
          </w:p>
        </w:tc>
      </w:tr>
    </w:tbl>
    <w:p w:rsidR="00766BE0" w:rsidRPr="0060385A" w:rsidRDefault="00766BE0" w:rsidP="00766BE0">
      <w:pPr>
        <w:spacing w:line="252" w:lineRule="auto"/>
        <w:ind w:left="180"/>
        <w:jc w:val="both"/>
        <w:rPr>
          <w:sz w:val="18"/>
          <w:lang w:val="en-GB"/>
        </w:rPr>
      </w:pPr>
      <w:r w:rsidRPr="0060385A">
        <w:rPr>
          <w:sz w:val="18"/>
          <w:lang w:val="en-GB"/>
        </w:rPr>
        <w:t xml:space="preserve">Beyond the </w:t>
      </w:r>
      <w:r w:rsidR="00A7511B">
        <w:rPr>
          <w:sz w:val="18"/>
          <w:lang w:val="en-GB"/>
        </w:rPr>
        <w:t>110</w:t>
      </w:r>
      <w:r w:rsidRPr="0060385A">
        <w:rPr>
          <w:sz w:val="18"/>
          <w:lang w:val="en-GB"/>
        </w:rPr>
        <w:t xml:space="preserve"> MTPA of liquefaction capacity currently under construction </w:t>
      </w:r>
      <w:r w:rsidRPr="00E96746">
        <w:rPr>
          <w:sz w:val="18"/>
          <w:lang w:val="en-GB"/>
        </w:rPr>
        <w:t xml:space="preserve">around the world, an additional </w:t>
      </w:r>
      <w:r w:rsidR="00A7511B" w:rsidRPr="00E96746">
        <w:rPr>
          <w:sz w:val="18"/>
          <w:lang w:val="en-GB"/>
        </w:rPr>
        <w:t>158</w:t>
      </w:r>
      <w:r w:rsidRPr="00E96746">
        <w:rPr>
          <w:sz w:val="18"/>
          <w:lang w:val="en-GB"/>
        </w:rPr>
        <w:t xml:space="preserve"> MTPA of liquefaction capacity </w:t>
      </w:r>
      <w:r w:rsidR="00350FA9" w:rsidRPr="00E96746">
        <w:rPr>
          <w:sz w:val="18"/>
          <w:lang w:val="en-GB"/>
        </w:rPr>
        <w:t xml:space="preserve">is in some stage of </w:t>
      </w:r>
      <w:r w:rsidRPr="00E96746">
        <w:rPr>
          <w:sz w:val="18"/>
          <w:lang w:val="en-GB"/>
        </w:rPr>
        <w:t>FEED</w:t>
      </w:r>
      <w:r w:rsidRPr="00E96746">
        <w:rPr>
          <w:rStyle w:val="Appelnotedebasdep"/>
          <w:sz w:val="18"/>
          <w:lang w:val="en-GB"/>
        </w:rPr>
        <w:footnoteReference w:id="3"/>
      </w:r>
      <w:r w:rsidRPr="00E96746">
        <w:rPr>
          <w:sz w:val="18"/>
          <w:lang w:val="en-GB"/>
        </w:rPr>
        <w:t>, and a further 357 MTPA of capacity has been proposed.  However, projects that have not yet reached FID</w:t>
      </w:r>
      <w:r w:rsidR="00350FA9">
        <w:rPr>
          <w:rStyle w:val="Appelnotedebasdep"/>
          <w:sz w:val="18"/>
          <w:lang w:val="en-GB"/>
        </w:rPr>
        <w:footnoteReference w:id="4"/>
      </w:r>
      <w:r w:rsidRPr="0060385A">
        <w:rPr>
          <w:sz w:val="18"/>
          <w:lang w:val="en-GB"/>
        </w:rPr>
        <w:t xml:space="preserve"> are not risked, and a large portion of them will likely never be built. </w:t>
      </w:r>
    </w:p>
    <w:p w:rsidR="00766BE0" w:rsidRDefault="00073EEA" w:rsidP="00766BE0">
      <w:pPr>
        <w:spacing w:line="252" w:lineRule="auto"/>
        <w:ind w:left="180"/>
        <w:jc w:val="both"/>
        <w:rPr>
          <w:sz w:val="18"/>
          <w:lang w:val="en-GB"/>
        </w:rPr>
      </w:pPr>
      <w:r w:rsidRPr="00073EEA">
        <w:rPr>
          <w:noProof/>
          <w:sz w:val="18"/>
          <w:lang w:eastAsia="en-US"/>
        </w:rPr>
        <w:pict>
          <v:shape id="_x0000_s1055" type="#_x0000_t202" style="position:absolute;left:0;text-align:left;margin-left:145.6pt;margin-top:7.7pt;width:111.35pt;height:40.75pt;z-index:251654144;mso-wrap-edited:f;mso-wrap-distance-left:14.4pt;mso-wrap-distance-right:14.4pt;mso-width-relative:margin;mso-height-relative:margin" wrapcoords="0 0 21600 0 21600 21600 0 21600 0 0" filled="f" stroked="f" strokecolor="silver">
            <v:fill o:detectmouseclick="t"/>
            <v:textbox inset="0,0,0,0">
              <w:txbxContent>
                <w:p w:rsidR="00856114" w:rsidRPr="003A5BDA" w:rsidRDefault="00856114" w:rsidP="00766BE0">
                  <w:pPr>
                    <w:rPr>
                      <w:b/>
                      <w:color w:val="1B82CE" w:themeColor="accent3"/>
                      <w:sz w:val="24"/>
                    </w:rPr>
                  </w:pPr>
                  <w:r>
                    <w:rPr>
                      <w:b/>
                      <w:color w:val="1B82CE" w:themeColor="accent3"/>
                      <w:sz w:val="24"/>
                    </w:rPr>
                    <w:t>280.9 MTPA</w:t>
                  </w:r>
                </w:p>
                <w:p w:rsidR="00856114" w:rsidRPr="003A5BDA" w:rsidRDefault="00856114" w:rsidP="00766BE0">
                  <w:pPr>
                    <w:rPr>
                      <w:i/>
                      <w:color w:val="1B82CE" w:themeColor="accent3"/>
                      <w:sz w:val="18"/>
                    </w:rPr>
                  </w:pPr>
                  <w:r>
                    <w:rPr>
                      <w:i/>
                      <w:color w:val="1B82CE" w:themeColor="accent3"/>
                      <w:sz w:val="18"/>
                    </w:rPr>
                    <w:t>Global liquefaction capacity at the end of 2012</w:t>
                  </w:r>
                </w:p>
              </w:txbxContent>
            </v:textbox>
            <w10:wrap type="tight"/>
          </v:shape>
        </w:pict>
      </w:r>
    </w:p>
    <w:p w:rsidR="00766BE0" w:rsidRDefault="00766BE0" w:rsidP="00766BE0">
      <w:pPr>
        <w:spacing w:line="252" w:lineRule="auto"/>
        <w:ind w:left="180"/>
        <w:jc w:val="both"/>
        <w:rPr>
          <w:sz w:val="18"/>
          <w:lang w:val="en-GB"/>
        </w:rPr>
      </w:pPr>
      <w:r>
        <w:rPr>
          <w:sz w:val="18"/>
          <w:lang w:val="en-GB"/>
        </w:rPr>
        <w:t>C</w:t>
      </w:r>
      <w:r w:rsidRPr="008C2DD6">
        <w:rPr>
          <w:sz w:val="18"/>
          <w:lang w:val="en-GB"/>
        </w:rPr>
        <w:t xml:space="preserve">ontinuing the lull in new </w:t>
      </w:r>
      <w:r w:rsidRPr="0060385A">
        <w:rPr>
          <w:sz w:val="18"/>
          <w:lang w:val="en-GB"/>
        </w:rPr>
        <w:t>capacity experienced in 2012, only two projects are expected online in 2013: the delayed Angola LNG and</w:t>
      </w:r>
      <w:r>
        <w:rPr>
          <w:sz w:val="18"/>
          <w:lang w:val="en-GB"/>
        </w:rPr>
        <w:t xml:space="preserve"> </w:t>
      </w:r>
      <w:r w:rsidRPr="008C2DD6">
        <w:rPr>
          <w:sz w:val="18"/>
          <w:lang w:val="en-GB"/>
        </w:rPr>
        <w:t>the rebuild of previously destroyed t</w:t>
      </w:r>
      <w:r>
        <w:rPr>
          <w:sz w:val="18"/>
          <w:lang w:val="en-GB"/>
        </w:rPr>
        <w:t xml:space="preserve">rains at Algeria’s Skikda GL1K, though the latter is only </w:t>
      </w:r>
      <w:r w:rsidRPr="008C2DD6">
        <w:rPr>
          <w:sz w:val="18"/>
          <w:lang w:val="en-GB"/>
        </w:rPr>
        <w:t xml:space="preserve">expected </w:t>
      </w:r>
      <w:r>
        <w:rPr>
          <w:sz w:val="18"/>
          <w:lang w:val="en-GB"/>
        </w:rPr>
        <w:t xml:space="preserve">to offset capacity that will be subsequently </w:t>
      </w:r>
      <w:r w:rsidRPr="008C2DD6">
        <w:rPr>
          <w:sz w:val="18"/>
          <w:lang w:val="en-GB"/>
        </w:rPr>
        <w:t>de-commissio</w:t>
      </w:r>
      <w:r>
        <w:rPr>
          <w:sz w:val="18"/>
          <w:lang w:val="en-GB"/>
        </w:rPr>
        <w:t>ned.</w:t>
      </w:r>
    </w:p>
    <w:p w:rsidR="00766BE0" w:rsidRPr="00564DBB"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8C2DD6">
        <w:rPr>
          <w:sz w:val="18"/>
          <w:lang w:val="en-GB"/>
        </w:rPr>
        <w:t xml:space="preserve">Despite the fact that several </w:t>
      </w:r>
      <w:r w:rsidR="001B55B3">
        <w:rPr>
          <w:sz w:val="18"/>
          <w:lang w:val="en-GB"/>
        </w:rPr>
        <w:t>trains</w:t>
      </w:r>
      <w:r w:rsidRPr="008C2DD6">
        <w:rPr>
          <w:sz w:val="18"/>
          <w:lang w:val="en-GB"/>
        </w:rPr>
        <w:t xml:space="preserve"> have been decommissioned in recent years - the Arun LNG project in Indonesia and the Arzew/Skikda LNG project in Algeria decommissioned their oldest trains in 2010, and the retirement of other Algerian trains is likely once Arzew GL3Z and the Skikda rebuild comes online - net liquefaction capacity continues to grow as new projects are </w:t>
      </w:r>
      <w:r w:rsidRPr="0060385A">
        <w:rPr>
          <w:sz w:val="18"/>
          <w:lang w:val="en-GB"/>
        </w:rPr>
        <w:t>brought on-line. Although ConocoPhillips bought Marathon’s stake in the Kenai LNG plant in Alaska in 2011, the company put the plant in stand-by mode</w:t>
      </w:r>
      <w:r>
        <w:rPr>
          <w:sz w:val="18"/>
          <w:lang w:val="en-GB"/>
        </w:rPr>
        <w:t xml:space="preserve"> in October 2012</w:t>
      </w:r>
      <w:r w:rsidRPr="0060385A">
        <w:rPr>
          <w:sz w:val="18"/>
          <w:lang w:val="en-GB"/>
        </w:rPr>
        <w:t xml:space="preserve">, </w:t>
      </w:r>
      <w:r>
        <w:rPr>
          <w:sz w:val="18"/>
          <w:lang w:val="en-GB"/>
        </w:rPr>
        <w:t>and its export license expired in 2013.</w:t>
      </w:r>
      <w:r w:rsidRPr="008C2DD6">
        <w:rPr>
          <w:sz w:val="18"/>
          <w:lang w:val="en-GB"/>
        </w:rPr>
        <w:t xml:space="preserve">  </w:t>
      </w:r>
    </w:p>
    <w:p w:rsidR="00766BE0" w:rsidRPr="009C3813" w:rsidRDefault="00766BE0" w:rsidP="00C401C6">
      <w:pPr>
        <w:pStyle w:val="Titre2"/>
        <w:ind w:left="180"/>
        <w:rPr>
          <w:lang w:val="en-GB"/>
        </w:rPr>
      </w:pPr>
      <w:bookmarkStart w:id="15" w:name="_Toc360628236"/>
      <w:r>
        <w:rPr>
          <w:lang w:val="en-GB"/>
        </w:rPr>
        <w:t xml:space="preserve">4.2 GLOBAL LIQUEFACTION CAPACITY AND </w:t>
      </w:r>
      <w:r w:rsidR="00C401C6">
        <w:rPr>
          <w:lang w:val="en-GB"/>
        </w:rPr>
        <w:t>U</w:t>
      </w:r>
      <w:r>
        <w:rPr>
          <w:lang w:val="en-GB"/>
        </w:rPr>
        <w:t>TILIZATION</w:t>
      </w:r>
      <w:r>
        <w:rPr>
          <w:rStyle w:val="Appelnotedebasdep"/>
          <w:lang w:val="en-GB"/>
        </w:rPr>
        <w:footnoteReference w:id="5"/>
      </w:r>
      <w:bookmarkEnd w:id="15"/>
    </w:p>
    <w:p w:rsidR="00766BE0" w:rsidRPr="009C3813" w:rsidRDefault="00766BE0" w:rsidP="00766BE0">
      <w:pPr>
        <w:spacing w:line="252" w:lineRule="auto"/>
        <w:ind w:left="180"/>
        <w:jc w:val="both"/>
        <w:rPr>
          <w:b/>
          <w:color w:val="215A99"/>
          <w:sz w:val="18"/>
          <w:lang w:val="en-GB"/>
        </w:rPr>
      </w:pPr>
    </w:p>
    <w:p w:rsidR="00766BE0" w:rsidRPr="0060385A" w:rsidRDefault="00766BE0" w:rsidP="00766BE0">
      <w:pPr>
        <w:spacing w:line="252" w:lineRule="auto"/>
        <w:ind w:left="180"/>
        <w:jc w:val="both"/>
        <w:rPr>
          <w:sz w:val="18"/>
          <w:lang w:val="en-GB"/>
        </w:rPr>
      </w:pPr>
      <w:r w:rsidRPr="0060385A">
        <w:rPr>
          <w:sz w:val="18"/>
          <w:lang w:val="en-GB"/>
        </w:rPr>
        <w:t xml:space="preserve">Over the past four years, global liquefaction capacity </w:t>
      </w:r>
      <w:r>
        <w:rPr>
          <w:sz w:val="18"/>
          <w:lang w:val="en-GB"/>
        </w:rPr>
        <w:t>grew</w:t>
      </w:r>
      <w:r w:rsidRPr="0060385A">
        <w:rPr>
          <w:sz w:val="18"/>
          <w:lang w:val="en-GB"/>
        </w:rPr>
        <w:t xml:space="preserve"> by 12% to reach 280.9 MTPA at the end of 2012. This growth was led by a </w:t>
      </w:r>
      <w:r w:rsidRPr="00133395">
        <w:rPr>
          <w:sz w:val="18"/>
          <w:lang w:val="en-GB"/>
        </w:rPr>
        <w:t>massive expansion in the Middle East as a result of the construction of major projects in Qatar, but as the final Qatari mega</w:t>
      </w:r>
      <w:r w:rsidR="00350FA9" w:rsidRPr="00133395">
        <w:rPr>
          <w:sz w:val="18"/>
          <w:lang w:val="en-GB"/>
        </w:rPr>
        <w:t>-</w:t>
      </w:r>
      <w:r w:rsidRPr="00133395">
        <w:rPr>
          <w:sz w:val="18"/>
          <w:lang w:val="en-GB"/>
        </w:rPr>
        <w:t>train</w:t>
      </w:r>
      <w:r w:rsidRPr="0060385A">
        <w:rPr>
          <w:sz w:val="18"/>
          <w:lang w:val="en-GB"/>
        </w:rPr>
        <w:t xml:space="preserve"> came online i</w:t>
      </w:r>
      <w:r>
        <w:rPr>
          <w:sz w:val="18"/>
          <w:lang w:val="en-GB"/>
        </w:rPr>
        <w:t>n 2011, the</w:t>
      </w:r>
      <w:r w:rsidR="00B31122">
        <w:rPr>
          <w:sz w:val="18"/>
          <w:lang w:val="en-GB"/>
        </w:rPr>
        <w:t xml:space="preserve"> </w:t>
      </w:r>
      <w:r w:rsidRPr="0060385A">
        <w:rPr>
          <w:sz w:val="18"/>
          <w:lang w:val="en-GB"/>
        </w:rPr>
        <w:t>pace of expansion is expected to slow. With 1</w:t>
      </w:r>
      <w:r w:rsidR="00225CB6">
        <w:rPr>
          <w:sz w:val="18"/>
          <w:lang w:val="en-GB"/>
        </w:rPr>
        <w:t>10</w:t>
      </w:r>
      <w:r w:rsidRPr="0060385A">
        <w:rPr>
          <w:sz w:val="18"/>
          <w:lang w:val="en-GB"/>
        </w:rPr>
        <w:t xml:space="preserve"> MTPA of </w:t>
      </w:r>
      <w:r w:rsidRPr="0060385A">
        <w:rPr>
          <w:sz w:val="18"/>
          <w:lang w:val="en-GB"/>
        </w:rPr>
        <w:lastRenderedPageBreak/>
        <w:t xml:space="preserve">liquefaction capacity under construction, global capacity is expected to be </w:t>
      </w:r>
      <w:r w:rsidR="00225CB6">
        <w:rPr>
          <w:sz w:val="18"/>
          <w:lang w:val="en-GB"/>
        </w:rPr>
        <w:t>366</w:t>
      </w:r>
      <w:r w:rsidRPr="0060385A">
        <w:rPr>
          <w:sz w:val="18"/>
          <w:lang w:val="en-GB"/>
        </w:rPr>
        <w:t xml:space="preserve"> MTPA by 2017, marking a slightly slower 27% growth. </w:t>
      </w:r>
    </w:p>
    <w:p w:rsidR="00766BE0" w:rsidRPr="00B722C2" w:rsidRDefault="00766BE0" w:rsidP="00766BE0">
      <w:pPr>
        <w:spacing w:line="252" w:lineRule="auto"/>
        <w:ind w:left="180"/>
        <w:jc w:val="both"/>
        <w:rPr>
          <w:sz w:val="18"/>
          <w:lang w:val="en-GB"/>
        </w:rPr>
      </w:pPr>
    </w:p>
    <w:tbl>
      <w:tblPr>
        <w:tblpPr w:leftFromText="180" w:rightFromText="180" w:vertAnchor="text" w:horzAnchor="margin" w:tblpY="-102"/>
        <w:tblW w:w="5021" w:type="dxa"/>
        <w:tblLayout w:type="fixed"/>
        <w:tblLook w:val="01E0"/>
      </w:tblPr>
      <w:tblGrid>
        <w:gridCol w:w="5021"/>
      </w:tblGrid>
      <w:tr w:rsidR="00766BE0" w:rsidRPr="00A918C1" w:rsidTr="00E757B1">
        <w:trPr>
          <w:trHeight w:val="2938"/>
        </w:trPr>
        <w:tc>
          <w:tcPr>
            <w:tcW w:w="5021" w:type="dxa"/>
          </w:tcPr>
          <w:p w:rsidR="00766BE0" w:rsidRDefault="00766BE0" w:rsidP="00E757B1">
            <w:pPr>
              <w:pStyle w:val="PFCBulletedText2"/>
              <w:spacing w:before="120" w:after="0"/>
              <w:ind w:left="0" w:firstLine="0"/>
              <w:jc w:val="left"/>
              <w:rPr>
                <w:noProof/>
                <w:lang w:eastAsia="en-US"/>
              </w:rPr>
            </w:pPr>
            <w:r>
              <w:rPr>
                <w:noProof/>
                <w:lang w:val="fr-FR" w:eastAsia="zh-CN"/>
              </w:rPr>
              <w:drawing>
                <wp:inline distT="0" distB="0" distL="0" distR="0">
                  <wp:extent cx="3019425" cy="2286000"/>
                  <wp:effectExtent l="19050" t="0" r="9525" b="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3019425" cy="2286000"/>
                          </a:xfrm>
                          <a:prstGeom prst="rect">
                            <a:avLst/>
                          </a:prstGeom>
                          <a:noFill/>
                          <a:ln w="9525">
                            <a:noFill/>
                            <a:miter lim="800000"/>
                            <a:headEnd/>
                            <a:tailEnd/>
                          </a:ln>
                        </pic:spPr>
                      </pic:pic>
                    </a:graphicData>
                  </a:graphic>
                </wp:inline>
              </w:drawing>
            </w:r>
          </w:p>
          <w:p w:rsidR="00766BE0" w:rsidRDefault="00766BE0" w:rsidP="00E757B1">
            <w:pPr>
              <w:pStyle w:val="PFCBulletedText2"/>
              <w:ind w:left="0" w:firstLine="0"/>
              <w:jc w:val="left"/>
              <w:rPr>
                <w:b/>
                <w:sz w:val="18"/>
                <w:szCs w:val="18"/>
              </w:rPr>
            </w:pPr>
            <w:r>
              <w:rPr>
                <w:b/>
                <w:sz w:val="18"/>
                <w:szCs w:val="18"/>
              </w:rPr>
              <w:t xml:space="preserve">Figure </w:t>
            </w:r>
            <w:r w:rsidR="00F05256">
              <w:rPr>
                <w:b/>
                <w:sz w:val="18"/>
                <w:szCs w:val="18"/>
              </w:rPr>
              <w:t>4.</w:t>
            </w:r>
            <w:r>
              <w:rPr>
                <w:b/>
                <w:sz w:val="18"/>
                <w:szCs w:val="18"/>
              </w:rPr>
              <w:t>2</w:t>
            </w:r>
            <w:r w:rsidRPr="005733C3">
              <w:rPr>
                <w:b/>
                <w:sz w:val="18"/>
                <w:szCs w:val="18"/>
              </w:rPr>
              <w:t xml:space="preserve">:  </w:t>
            </w:r>
            <w:r>
              <w:rPr>
                <w:b/>
                <w:sz w:val="18"/>
                <w:szCs w:val="18"/>
              </w:rPr>
              <w:t xml:space="preserve"> Global Liquefaction Capacity Build-Out, 1990-2017</w:t>
            </w:r>
            <w:r>
              <w:rPr>
                <w:rStyle w:val="Appelnotedebasdep"/>
                <w:b/>
                <w:sz w:val="18"/>
                <w:szCs w:val="18"/>
              </w:rPr>
              <w:footnoteReference w:id="6"/>
            </w:r>
          </w:p>
          <w:p w:rsidR="00766BE0" w:rsidRPr="002055A2" w:rsidRDefault="00766BE0"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766BE0" w:rsidRPr="00133395" w:rsidRDefault="00766BE0" w:rsidP="00766BE0">
      <w:pPr>
        <w:spacing w:line="252" w:lineRule="auto"/>
        <w:ind w:left="180"/>
        <w:jc w:val="both"/>
        <w:rPr>
          <w:sz w:val="18"/>
          <w:lang w:val="en-GB"/>
        </w:rPr>
      </w:pPr>
      <w:r w:rsidRPr="000279AE">
        <w:rPr>
          <w:sz w:val="18"/>
          <w:lang w:val="en-GB"/>
        </w:rPr>
        <w:t xml:space="preserve">Only one new train was commissioned in 2012 – </w:t>
      </w:r>
      <w:r w:rsidRPr="0060385A">
        <w:rPr>
          <w:sz w:val="18"/>
          <w:lang w:val="en-GB"/>
        </w:rPr>
        <w:t xml:space="preserve">Woodside’s Pluto LNG in Australia. The 4.3 MTPA plant came online in April and has produced LNG at a higher than expected utilization rate in its first year of operations. Angola LNG was initially </w:t>
      </w:r>
      <w:r w:rsidRPr="00133395">
        <w:rPr>
          <w:sz w:val="18"/>
          <w:lang w:val="en-GB"/>
        </w:rPr>
        <w:t xml:space="preserve">expected online in the first quarter of 2012, but technical difficulties delayed the project’s start. </w:t>
      </w:r>
    </w:p>
    <w:p w:rsidR="00766BE0" w:rsidRPr="00133395" w:rsidRDefault="00766BE0" w:rsidP="00766BE0">
      <w:pPr>
        <w:spacing w:line="252" w:lineRule="auto"/>
        <w:ind w:left="180"/>
        <w:jc w:val="both"/>
        <w:rPr>
          <w:sz w:val="18"/>
          <w:lang w:val="en-GB"/>
        </w:rPr>
      </w:pPr>
    </w:p>
    <w:p w:rsidR="00766BE0" w:rsidRPr="00133395" w:rsidRDefault="00766BE0" w:rsidP="00766BE0">
      <w:pPr>
        <w:spacing w:line="252" w:lineRule="auto"/>
        <w:ind w:left="180"/>
        <w:jc w:val="both"/>
        <w:rPr>
          <w:sz w:val="18"/>
          <w:lang w:val="en-GB"/>
        </w:rPr>
      </w:pPr>
      <w:r w:rsidRPr="00133395">
        <w:rPr>
          <w:sz w:val="18"/>
          <w:lang w:val="en-GB"/>
        </w:rPr>
        <w:t>Very few projects are announced to come on</w:t>
      </w:r>
      <w:r w:rsidR="00350FA9" w:rsidRPr="00133395">
        <w:rPr>
          <w:sz w:val="18"/>
          <w:lang w:val="en-GB"/>
        </w:rPr>
        <w:t>-</w:t>
      </w:r>
      <w:r w:rsidRPr="00133395">
        <w:rPr>
          <w:sz w:val="18"/>
          <w:lang w:val="en-GB"/>
        </w:rPr>
        <w:t>stream in 2013-15, likely resulting in a continued slowing in the growth rate before many of the Australian and Papua New Guinea projects now under construction and the first of the US projects come on-stream in the second half of the decade.</w:t>
      </w:r>
    </w:p>
    <w:p w:rsidR="00766BE0" w:rsidRPr="0060385A" w:rsidRDefault="00766BE0" w:rsidP="00766BE0">
      <w:pPr>
        <w:spacing w:line="252" w:lineRule="auto"/>
        <w:ind w:left="180"/>
        <w:jc w:val="both"/>
        <w:rPr>
          <w:sz w:val="18"/>
          <w:lang w:val="en-GB"/>
        </w:rPr>
      </w:pPr>
      <w:r w:rsidRPr="0060385A">
        <w:rPr>
          <w:sz w:val="18"/>
          <w:lang w:val="en-GB"/>
        </w:rPr>
        <w:t xml:space="preserve"> </w:t>
      </w:r>
    </w:p>
    <w:p w:rsidR="00766BE0" w:rsidRDefault="00766BE0" w:rsidP="00766BE0">
      <w:pPr>
        <w:spacing w:line="252" w:lineRule="auto"/>
        <w:ind w:left="180"/>
        <w:jc w:val="both"/>
        <w:rPr>
          <w:sz w:val="18"/>
          <w:lang w:val="en-GB"/>
        </w:rPr>
      </w:pPr>
      <w:r w:rsidRPr="0060385A">
        <w:rPr>
          <w:sz w:val="18"/>
          <w:lang w:val="en-GB"/>
        </w:rPr>
        <w:t>Over the past four years, global liquefaction capacity utilization was 84% on average. Although this rose to 87% in 2011, global utilization dipped back to 85% in 2012; of 17 exporting countries (not including re-exporters), 10 saw lower utilization rates. Lower liquefaction utilization levels ultimately reveal the market’s vulnerability to</w:t>
      </w:r>
      <w:r w:rsidRPr="00DF09FA">
        <w:rPr>
          <w:sz w:val="18"/>
          <w:lang w:val="en-GB"/>
        </w:rPr>
        <w:t xml:space="preserve"> </w:t>
      </w:r>
      <w:r>
        <w:rPr>
          <w:sz w:val="18"/>
          <w:lang w:val="en-GB"/>
        </w:rPr>
        <w:t xml:space="preserve">acute </w:t>
      </w:r>
      <w:r w:rsidRPr="00DF09FA">
        <w:rPr>
          <w:sz w:val="18"/>
          <w:lang w:val="en-GB"/>
        </w:rPr>
        <w:t>issues concerning feedstock supply and disruptions to plant infrastructure, such as the fire in Malaysia or pipeline attacks in Yemen.</w:t>
      </w:r>
      <w:r>
        <w:rPr>
          <w:sz w:val="18"/>
          <w:lang w:val="en-GB"/>
        </w:rPr>
        <w:t xml:space="preserve">  E</w:t>
      </w:r>
      <w:r w:rsidRPr="0060385A">
        <w:rPr>
          <w:sz w:val="18"/>
          <w:lang w:val="en-GB"/>
        </w:rPr>
        <w:t>lsewhere, more chronic and persistent problems like feedstock maturation (Indonesia</w:t>
      </w:r>
      <w:r w:rsidRPr="003C1220">
        <w:rPr>
          <w:sz w:val="18"/>
          <w:lang w:val="en-GB"/>
        </w:rPr>
        <w:t>, US) and growing domestic demand requirements (Egypt, Algeria) led to utilization declines.</w:t>
      </w:r>
      <w:r>
        <w:rPr>
          <w:sz w:val="18"/>
          <w:lang w:val="en-GB"/>
        </w:rPr>
        <w:t xml:space="preserve"> </w:t>
      </w:r>
      <w:r w:rsidRPr="00DF09FA">
        <w:rPr>
          <w:sz w:val="18"/>
          <w:lang w:val="en-GB"/>
        </w:rPr>
        <w:t xml:space="preserve"> As a result, total LNG </w:t>
      </w:r>
      <w:r w:rsidRPr="00DF09FA">
        <w:rPr>
          <w:sz w:val="18"/>
          <w:lang w:val="en-GB"/>
        </w:rPr>
        <w:lastRenderedPageBreak/>
        <w:t xml:space="preserve">trade declined in 2012 for the first time since the early 1980s. </w:t>
      </w:r>
    </w:p>
    <w:p w:rsidR="00766BE0"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864DD2">
        <w:rPr>
          <w:sz w:val="18"/>
          <w:lang w:val="en-GB"/>
        </w:rPr>
        <w:t xml:space="preserve">Liquefaction technology has evolved over time, allowing for </w:t>
      </w:r>
      <w:r w:rsidRPr="0060385A">
        <w:rPr>
          <w:sz w:val="18"/>
          <w:lang w:val="en-GB"/>
        </w:rPr>
        <w:t xml:space="preserve">larger trains: the world’s first liquefaction plant in Algeria had a nameplate capacity of 0.85 MTPA.  In contrast, the six Qatari </w:t>
      </w:r>
      <w:r w:rsidRPr="00133395">
        <w:rPr>
          <w:sz w:val="18"/>
          <w:lang w:val="en-GB"/>
        </w:rPr>
        <w:t>mega trains each have a nameplate capacity of 7.8 MTPA, helping the average nameplate capacity of trains brought on</w:t>
      </w:r>
      <w:r w:rsidR="00350FA9" w:rsidRPr="00133395">
        <w:rPr>
          <w:sz w:val="18"/>
          <w:lang w:val="en-GB"/>
        </w:rPr>
        <w:t>-</w:t>
      </w:r>
      <w:r w:rsidRPr="00133395">
        <w:rPr>
          <w:sz w:val="18"/>
          <w:lang w:val="en-GB"/>
        </w:rPr>
        <w:t>stream from</w:t>
      </w:r>
      <w:r w:rsidRPr="0060385A">
        <w:rPr>
          <w:sz w:val="18"/>
          <w:lang w:val="en-GB"/>
        </w:rPr>
        <w:t xml:space="preserve"> 2008-2012 to grow to 5.0 MTPA, a tremendous increase when compared to the world’s earliest projects. </w:t>
      </w:r>
    </w:p>
    <w:p w:rsidR="008D48A4" w:rsidRPr="0060385A" w:rsidRDefault="008D48A4" w:rsidP="00766BE0">
      <w:pPr>
        <w:spacing w:line="252" w:lineRule="auto"/>
        <w:ind w:left="180"/>
        <w:jc w:val="both"/>
        <w:rPr>
          <w:sz w:val="18"/>
          <w:lang w:val="en-GB"/>
        </w:rPr>
      </w:pPr>
    </w:p>
    <w:tbl>
      <w:tblPr>
        <w:tblpPr w:leftFromText="180" w:rightFromText="180" w:vertAnchor="text" w:horzAnchor="margin" w:tblpXSpec="right" w:tblpY="89"/>
        <w:tblW w:w="5200" w:type="dxa"/>
        <w:tblLayout w:type="fixed"/>
        <w:tblLook w:val="01E0"/>
      </w:tblPr>
      <w:tblGrid>
        <w:gridCol w:w="5200"/>
      </w:tblGrid>
      <w:tr w:rsidR="00766BE0" w:rsidRPr="00542E80" w:rsidTr="008D48A4">
        <w:trPr>
          <w:trHeight w:val="3011"/>
        </w:trPr>
        <w:tc>
          <w:tcPr>
            <w:tcW w:w="5200" w:type="dxa"/>
          </w:tcPr>
          <w:p w:rsidR="00766BE0" w:rsidRPr="00542E80" w:rsidRDefault="00766BE0" w:rsidP="00E757B1">
            <w:pPr>
              <w:spacing w:line="252" w:lineRule="auto"/>
              <w:ind w:left="180"/>
              <w:jc w:val="both"/>
              <w:rPr>
                <w:sz w:val="18"/>
                <w:lang w:val="en-GB"/>
              </w:rPr>
            </w:pPr>
            <w:r>
              <w:rPr>
                <w:noProof/>
                <w:sz w:val="18"/>
                <w:lang w:val="fr-FR" w:eastAsia="zh-CN"/>
              </w:rPr>
              <w:drawing>
                <wp:inline distT="0" distB="0" distL="0" distR="0">
                  <wp:extent cx="3021330" cy="2245995"/>
                  <wp:effectExtent l="19050" t="0" r="7620" b="0"/>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3021330" cy="2245995"/>
                          </a:xfrm>
                          <a:prstGeom prst="rect">
                            <a:avLst/>
                          </a:prstGeom>
                          <a:noFill/>
                          <a:ln w="9525">
                            <a:noFill/>
                            <a:miter lim="800000"/>
                            <a:headEnd/>
                            <a:tailEnd/>
                          </a:ln>
                        </pic:spPr>
                      </pic:pic>
                    </a:graphicData>
                  </a:graphic>
                </wp:inline>
              </w:drawing>
            </w:r>
          </w:p>
          <w:p w:rsidR="00766BE0" w:rsidRPr="002B0E89" w:rsidRDefault="00766BE0" w:rsidP="00E757B1">
            <w:pPr>
              <w:spacing w:line="252" w:lineRule="auto"/>
              <w:ind w:left="180"/>
              <w:jc w:val="both"/>
              <w:rPr>
                <w:b/>
                <w:sz w:val="18"/>
                <w:lang w:val="en-GB"/>
              </w:rPr>
            </w:pPr>
            <w:r w:rsidRPr="002B0E89">
              <w:rPr>
                <w:b/>
                <w:sz w:val="18"/>
                <w:lang w:val="en-GB"/>
              </w:rPr>
              <w:t xml:space="preserve">Figure </w:t>
            </w:r>
            <w:r w:rsidR="00F05256">
              <w:rPr>
                <w:b/>
                <w:sz w:val="18"/>
                <w:lang w:val="en-GB"/>
              </w:rPr>
              <w:t>4.</w:t>
            </w:r>
            <w:r w:rsidRPr="002B0E89">
              <w:rPr>
                <w:b/>
                <w:sz w:val="18"/>
                <w:lang w:val="en-GB"/>
              </w:rPr>
              <w:t>3:  Number of Tra</w:t>
            </w:r>
            <w:r w:rsidR="00100816">
              <w:rPr>
                <w:b/>
                <w:sz w:val="18"/>
                <w:lang w:val="en-GB"/>
              </w:rPr>
              <w:t>i</w:t>
            </w:r>
            <w:r w:rsidRPr="002B0E89">
              <w:rPr>
                <w:b/>
                <w:sz w:val="18"/>
                <w:lang w:val="en-GB"/>
              </w:rPr>
              <w:t>ns Commissioned vs. Average Train Capacity, 1964-2017</w:t>
            </w:r>
          </w:p>
          <w:p w:rsidR="00766BE0" w:rsidRPr="002B0E89" w:rsidRDefault="00766BE0" w:rsidP="00E757B1">
            <w:pPr>
              <w:spacing w:line="252" w:lineRule="auto"/>
              <w:ind w:left="180"/>
              <w:jc w:val="both"/>
              <w:rPr>
                <w:i/>
                <w:sz w:val="16"/>
                <w:szCs w:val="16"/>
                <w:lang w:val="en-GB"/>
              </w:rPr>
            </w:pPr>
            <w:r w:rsidRPr="002B0E89">
              <w:rPr>
                <w:i/>
                <w:sz w:val="16"/>
                <w:szCs w:val="16"/>
                <w:lang w:val="en-GB"/>
              </w:rPr>
              <w:t>Sources: PFC Energy Global LNG Service, Company Announcements</w:t>
            </w:r>
          </w:p>
          <w:p w:rsidR="00766BE0" w:rsidRPr="00542E80" w:rsidRDefault="00766BE0" w:rsidP="00E757B1">
            <w:pPr>
              <w:spacing w:line="252" w:lineRule="auto"/>
              <w:ind w:left="180"/>
              <w:jc w:val="both"/>
              <w:rPr>
                <w:sz w:val="18"/>
                <w:lang w:val="en-GB"/>
              </w:rPr>
            </w:pPr>
          </w:p>
        </w:tc>
      </w:tr>
    </w:tbl>
    <w:p w:rsidR="00766BE0" w:rsidRPr="0060385A" w:rsidRDefault="00766BE0" w:rsidP="00766BE0">
      <w:pPr>
        <w:spacing w:line="252" w:lineRule="auto"/>
        <w:ind w:left="180"/>
        <w:jc w:val="both"/>
        <w:rPr>
          <w:sz w:val="18"/>
          <w:szCs w:val="18"/>
        </w:rPr>
      </w:pPr>
      <w:r w:rsidRPr="0060385A">
        <w:rPr>
          <w:sz w:val="18"/>
          <w:lang w:val="en-GB"/>
        </w:rPr>
        <w:t>As Qatar has completed construction of all of its trains, and none of the projects currently under construction intend to use the AP-X technology, it is expected that the average size of newly commissioned trains will decrease slightly over the next five years.</w:t>
      </w:r>
      <w:r w:rsidRPr="0060385A">
        <w:t xml:space="preserve"> </w:t>
      </w:r>
      <w:r w:rsidRPr="0060385A">
        <w:rPr>
          <w:sz w:val="18"/>
          <w:szCs w:val="18"/>
        </w:rPr>
        <w:t>Pluto LNG, the world’s newest LNG plant, has a nameplate capacity of just 4.3 MTPA, though this may be increased with future debottlenecking.</w:t>
      </w:r>
    </w:p>
    <w:p w:rsidR="00766BE0" w:rsidRDefault="00766BE0" w:rsidP="00C401C6">
      <w:pPr>
        <w:pStyle w:val="Titre2"/>
        <w:ind w:left="180"/>
        <w:rPr>
          <w:lang w:val="en-GB"/>
        </w:rPr>
      </w:pPr>
      <w:bookmarkStart w:id="16" w:name="_Toc360628237"/>
      <w:r>
        <w:rPr>
          <w:lang w:val="en-GB"/>
        </w:rPr>
        <w:t>4.3 LIQUEFACTION CAPACITY AND UTILIZATION BY COUNTRY</w:t>
      </w:r>
      <w:bookmarkEnd w:id="16"/>
      <w:r>
        <w:rPr>
          <w:lang w:val="en-GB"/>
        </w:rPr>
        <w:t xml:space="preserve"> </w:t>
      </w:r>
    </w:p>
    <w:p w:rsidR="00766BE0"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3C1220">
        <w:rPr>
          <w:sz w:val="18"/>
          <w:lang w:val="en-GB"/>
        </w:rPr>
        <w:t xml:space="preserve">At the end of 2012, 17 countries had </w:t>
      </w:r>
      <w:r w:rsidR="008D48A4">
        <w:rPr>
          <w:sz w:val="18"/>
          <w:lang w:val="en-GB"/>
        </w:rPr>
        <w:t xml:space="preserve">LNG export capacity </w:t>
      </w:r>
      <w:r w:rsidRPr="003C1220">
        <w:rPr>
          <w:sz w:val="18"/>
          <w:lang w:val="en-GB"/>
        </w:rPr>
        <w:t xml:space="preserve">– down from 18 in 2010 due to the persistent closure of the LNG plant </w:t>
      </w:r>
      <w:proofErr w:type="spellStart"/>
      <w:r w:rsidRPr="003C1220">
        <w:rPr>
          <w:sz w:val="18"/>
          <w:lang w:val="en-GB"/>
        </w:rPr>
        <w:t>Marsa</w:t>
      </w:r>
      <w:proofErr w:type="spellEnd"/>
      <w:r w:rsidRPr="003C1220">
        <w:rPr>
          <w:sz w:val="18"/>
          <w:lang w:val="en-GB"/>
        </w:rPr>
        <w:t xml:space="preserve"> El </w:t>
      </w:r>
      <w:proofErr w:type="spellStart"/>
      <w:r w:rsidRPr="003C1220">
        <w:rPr>
          <w:sz w:val="18"/>
          <w:lang w:val="en-GB"/>
        </w:rPr>
        <w:t>Brega</w:t>
      </w:r>
      <w:proofErr w:type="spellEnd"/>
      <w:r w:rsidRPr="003C1220">
        <w:rPr>
          <w:sz w:val="18"/>
          <w:lang w:val="en-GB"/>
        </w:rPr>
        <w:t xml:space="preserve"> in Libya.  Well over a third of the world’s capacity is held in just two </w:t>
      </w:r>
      <w:r w:rsidRPr="0060385A">
        <w:rPr>
          <w:sz w:val="18"/>
          <w:lang w:val="en-GB"/>
        </w:rPr>
        <w:t>countries – Qatar and Indonesia. The top five exporters (including Malaysia, Nigeria, and Australia) held 65% of capacity.</w:t>
      </w:r>
    </w:p>
    <w:p w:rsidR="00350FA9" w:rsidRDefault="00350FA9" w:rsidP="00766BE0">
      <w:pPr>
        <w:spacing w:line="252" w:lineRule="auto"/>
        <w:ind w:left="180"/>
        <w:jc w:val="both"/>
        <w:rPr>
          <w:sz w:val="18"/>
          <w:lang w:val="en-GB"/>
        </w:rPr>
      </w:pPr>
    </w:p>
    <w:p w:rsidR="00133395" w:rsidRDefault="00133395" w:rsidP="00CC7708">
      <w:pPr>
        <w:spacing w:line="252" w:lineRule="auto"/>
        <w:ind w:left="180"/>
        <w:jc w:val="both"/>
        <w:rPr>
          <w:sz w:val="18"/>
          <w:lang w:val="en-GB"/>
        </w:rPr>
      </w:pPr>
    </w:p>
    <w:p w:rsidR="00133395" w:rsidRDefault="00133395" w:rsidP="00CC7708">
      <w:pPr>
        <w:spacing w:line="252" w:lineRule="auto"/>
        <w:ind w:left="180"/>
        <w:jc w:val="both"/>
        <w:rPr>
          <w:sz w:val="18"/>
          <w:lang w:val="en-GB"/>
        </w:rPr>
      </w:pPr>
    </w:p>
    <w:p w:rsidR="00133395" w:rsidRDefault="00133395" w:rsidP="00CC7708">
      <w:pPr>
        <w:spacing w:line="252" w:lineRule="auto"/>
        <w:ind w:left="180"/>
        <w:jc w:val="both"/>
        <w:rPr>
          <w:sz w:val="18"/>
          <w:lang w:val="en-GB"/>
        </w:rPr>
      </w:pPr>
    </w:p>
    <w:p w:rsidR="00133395" w:rsidRDefault="00133395" w:rsidP="00CC7708">
      <w:pPr>
        <w:spacing w:line="252" w:lineRule="auto"/>
        <w:ind w:left="180"/>
        <w:jc w:val="both"/>
        <w:rPr>
          <w:sz w:val="18"/>
          <w:lang w:val="en-GB"/>
        </w:rPr>
      </w:pPr>
    </w:p>
    <w:p w:rsidR="00133395" w:rsidRDefault="00133395" w:rsidP="00CC7708">
      <w:pPr>
        <w:spacing w:line="252" w:lineRule="auto"/>
        <w:ind w:left="180"/>
        <w:jc w:val="both"/>
        <w:rPr>
          <w:sz w:val="18"/>
          <w:lang w:val="en-GB"/>
        </w:rPr>
      </w:pPr>
    </w:p>
    <w:p w:rsidR="00133395" w:rsidRDefault="00133395" w:rsidP="00CC7708">
      <w:pPr>
        <w:spacing w:line="252" w:lineRule="auto"/>
        <w:ind w:left="180"/>
        <w:jc w:val="both"/>
        <w:rPr>
          <w:sz w:val="18"/>
          <w:lang w:val="en-GB"/>
        </w:rPr>
      </w:pPr>
    </w:p>
    <w:tbl>
      <w:tblPr>
        <w:tblpPr w:leftFromText="180" w:rightFromText="180" w:vertAnchor="text" w:horzAnchor="margin" w:tblpY="32"/>
        <w:tblW w:w="10394" w:type="dxa"/>
        <w:tblLayout w:type="fixed"/>
        <w:tblLook w:val="01E0"/>
      </w:tblPr>
      <w:tblGrid>
        <w:gridCol w:w="10394"/>
      </w:tblGrid>
      <w:tr w:rsidR="00133395" w:rsidRPr="00A918C1" w:rsidTr="00133395">
        <w:trPr>
          <w:trHeight w:val="2953"/>
        </w:trPr>
        <w:tc>
          <w:tcPr>
            <w:tcW w:w="10394" w:type="dxa"/>
          </w:tcPr>
          <w:p w:rsidR="00133395" w:rsidRDefault="00133395" w:rsidP="00133395">
            <w:pPr>
              <w:pStyle w:val="PFCBulletedText2"/>
              <w:spacing w:before="120" w:after="0"/>
              <w:ind w:left="0" w:firstLine="0"/>
              <w:jc w:val="left"/>
            </w:pPr>
            <w:r>
              <w:rPr>
                <w:noProof/>
                <w:szCs w:val="16"/>
                <w:lang w:val="fr-FR" w:eastAsia="zh-CN"/>
              </w:rPr>
              <w:lastRenderedPageBreak/>
              <w:drawing>
                <wp:inline distT="0" distB="0" distL="0" distR="0">
                  <wp:extent cx="6334125" cy="2543175"/>
                  <wp:effectExtent l="19050" t="0" r="9525" b="0"/>
                  <wp:docPr id="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6334125" cy="2543175"/>
                          </a:xfrm>
                          <a:prstGeom prst="rect">
                            <a:avLst/>
                          </a:prstGeom>
                          <a:noFill/>
                          <a:ln w="9525">
                            <a:noFill/>
                            <a:miter lim="800000"/>
                            <a:headEnd/>
                            <a:tailEnd/>
                          </a:ln>
                        </pic:spPr>
                      </pic:pic>
                    </a:graphicData>
                  </a:graphic>
                </wp:inline>
              </w:drawing>
            </w:r>
            <w:r w:rsidRPr="00A053BD">
              <w:rPr>
                <w:rStyle w:val="Marquedecommentaire"/>
                <w:sz w:val="20"/>
              </w:rPr>
              <w:t xml:space="preserve">  </w:t>
            </w:r>
          </w:p>
          <w:p w:rsidR="00133395" w:rsidRPr="0060385A" w:rsidRDefault="00133395" w:rsidP="00133395">
            <w:pPr>
              <w:pStyle w:val="PFCBulletedText2"/>
              <w:spacing w:before="120" w:after="0"/>
              <w:ind w:left="0" w:firstLine="0"/>
              <w:jc w:val="left"/>
              <w:rPr>
                <w:b/>
                <w:sz w:val="18"/>
                <w:szCs w:val="18"/>
              </w:rPr>
            </w:pPr>
            <w:r w:rsidRPr="0060385A">
              <w:rPr>
                <w:b/>
                <w:sz w:val="18"/>
                <w:szCs w:val="18"/>
              </w:rPr>
              <w:t xml:space="preserve">Figure </w:t>
            </w:r>
            <w:r>
              <w:rPr>
                <w:b/>
                <w:sz w:val="18"/>
                <w:szCs w:val="18"/>
              </w:rPr>
              <w:t>4.4</w:t>
            </w:r>
            <w:r w:rsidRPr="0060385A">
              <w:rPr>
                <w:b/>
                <w:sz w:val="18"/>
                <w:szCs w:val="18"/>
              </w:rPr>
              <w:t>: Liquefaction Capacity by Country in 2012 and 2017</w:t>
            </w:r>
          </w:p>
          <w:p w:rsidR="00133395" w:rsidRPr="00494081" w:rsidRDefault="00133395" w:rsidP="00133395">
            <w:pPr>
              <w:pStyle w:val="PFCBulletedText2"/>
              <w:ind w:left="0" w:firstLine="0"/>
              <w:jc w:val="left"/>
              <w:rPr>
                <w:sz w:val="16"/>
                <w:szCs w:val="16"/>
              </w:rPr>
            </w:pPr>
            <w:r w:rsidRPr="0024517D">
              <w:rPr>
                <w:i/>
                <w:sz w:val="16"/>
                <w:szCs w:val="16"/>
              </w:rPr>
              <w:t xml:space="preserve">Source: </w:t>
            </w:r>
            <w:r>
              <w:rPr>
                <w:i/>
                <w:sz w:val="16"/>
                <w:szCs w:val="16"/>
              </w:rPr>
              <w:t>PFC Energy Global LNG Service, Company Announcements</w:t>
            </w:r>
          </w:p>
        </w:tc>
      </w:tr>
    </w:tbl>
    <w:p w:rsidR="00766BE0" w:rsidRPr="0060385A" w:rsidRDefault="00350FA9" w:rsidP="00CC7708">
      <w:pPr>
        <w:spacing w:line="252" w:lineRule="auto"/>
        <w:ind w:left="180"/>
        <w:jc w:val="both"/>
        <w:rPr>
          <w:sz w:val="18"/>
          <w:lang w:val="en-GB"/>
        </w:rPr>
      </w:pPr>
      <w:r>
        <w:rPr>
          <w:sz w:val="18"/>
          <w:lang w:val="en-GB"/>
        </w:rPr>
        <w:t xml:space="preserve">In nearly all 17 countries, liquefaction capacity has </w:t>
      </w:r>
      <w:r w:rsidRPr="00C35321">
        <w:rPr>
          <w:sz w:val="18"/>
          <w:lang w:val="en-GB"/>
        </w:rPr>
        <w:t>remained constant or grown sin</w:t>
      </w:r>
      <w:r>
        <w:rPr>
          <w:sz w:val="18"/>
          <w:lang w:val="en-GB"/>
        </w:rPr>
        <w:t>ce 2008</w:t>
      </w:r>
      <w:r w:rsidRPr="00C35321">
        <w:rPr>
          <w:sz w:val="18"/>
          <w:lang w:val="en-GB"/>
        </w:rPr>
        <w:t>, though Algeria experienced a drop in capacity due to decommissioned plants in 2010 (and Libya stopped exporti</w:t>
      </w:r>
      <w:r>
        <w:rPr>
          <w:sz w:val="18"/>
          <w:lang w:val="en-GB"/>
        </w:rPr>
        <w:t>ng entirely in 2012). Since 2008</w:t>
      </w:r>
      <w:r w:rsidRPr="00C35321">
        <w:rPr>
          <w:sz w:val="18"/>
          <w:lang w:val="en-GB"/>
        </w:rPr>
        <w:t>, three countries have joined the ranks of LNG exporters, with projects in</w:t>
      </w:r>
      <w:r>
        <w:rPr>
          <w:sz w:val="18"/>
          <w:lang w:val="en-GB"/>
        </w:rPr>
        <w:t xml:space="preserve"> </w:t>
      </w:r>
      <w:r w:rsidRPr="00C35321">
        <w:rPr>
          <w:sz w:val="18"/>
          <w:lang w:val="en-GB"/>
        </w:rPr>
        <w:t xml:space="preserve">Yemen, </w:t>
      </w:r>
      <w:proofErr w:type="gramStart"/>
      <w:r w:rsidRPr="00C35321">
        <w:rPr>
          <w:sz w:val="18"/>
          <w:lang w:val="en-GB"/>
        </w:rPr>
        <w:t xml:space="preserve">Russia </w:t>
      </w:r>
      <w:r w:rsidR="00133395" w:rsidRPr="00C35321">
        <w:rPr>
          <w:sz w:val="18"/>
          <w:lang w:val="en-GB"/>
        </w:rPr>
        <w:t xml:space="preserve"> </w:t>
      </w:r>
      <w:r w:rsidRPr="00C35321">
        <w:rPr>
          <w:sz w:val="18"/>
          <w:lang w:val="en-GB"/>
        </w:rPr>
        <w:t>(</w:t>
      </w:r>
      <w:proofErr w:type="gramEnd"/>
      <w:r w:rsidRPr="00C35321">
        <w:rPr>
          <w:sz w:val="18"/>
          <w:lang w:val="en-GB"/>
        </w:rPr>
        <w:t xml:space="preserve">Sakhalin 2 T1-2), and Peru.  </w:t>
      </w:r>
      <w:r w:rsidRPr="003C1220">
        <w:rPr>
          <w:sz w:val="18"/>
          <w:lang w:val="en-GB"/>
        </w:rPr>
        <w:t xml:space="preserve">  </w:t>
      </w:r>
    </w:p>
    <w:p w:rsidR="00766BE0"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C35321">
        <w:rPr>
          <w:sz w:val="18"/>
          <w:lang w:val="en-GB"/>
        </w:rPr>
        <w:t xml:space="preserve">As Qatari </w:t>
      </w:r>
      <w:r w:rsidRPr="0060385A">
        <w:rPr>
          <w:sz w:val="18"/>
          <w:lang w:val="en-GB"/>
        </w:rPr>
        <w:t>capacity has reached its target, Australia will be the predominant source of new liquefaction capacity over the next five years.  The addition of Pluto LNG pushe</w:t>
      </w:r>
      <w:r>
        <w:rPr>
          <w:sz w:val="18"/>
          <w:lang w:val="en-GB"/>
        </w:rPr>
        <w:t>d</w:t>
      </w:r>
      <w:r w:rsidRPr="0060385A">
        <w:rPr>
          <w:sz w:val="18"/>
          <w:lang w:val="en-GB"/>
        </w:rPr>
        <w:t xml:space="preserve"> Australia’s capacity</w:t>
      </w:r>
      <w:r>
        <w:rPr>
          <w:sz w:val="18"/>
          <w:lang w:val="en-GB"/>
        </w:rPr>
        <w:t xml:space="preserve"> </w:t>
      </w:r>
      <w:r w:rsidRPr="00C35321">
        <w:rPr>
          <w:sz w:val="18"/>
          <w:lang w:val="en-GB"/>
        </w:rPr>
        <w:t>up</w:t>
      </w:r>
      <w:r>
        <w:rPr>
          <w:sz w:val="18"/>
          <w:lang w:val="en-GB"/>
        </w:rPr>
        <w:t xml:space="preserve"> 22% over 2011. Seven projects are currently under construction in the country with a total nameplate capacity of </w:t>
      </w:r>
      <w:r w:rsidRPr="00C35321">
        <w:rPr>
          <w:sz w:val="18"/>
          <w:lang w:val="en-GB"/>
        </w:rPr>
        <w:t xml:space="preserve">62 </w:t>
      </w:r>
      <w:r>
        <w:rPr>
          <w:sz w:val="18"/>
          <w:lang w:val="en-GB"/>
        </w:rPr>
        <w:t xml:space="preserve">MTPA, which accounts for 61% of all capacity that has reached FID globally and is still in the construction phase. </w:t>
      </w:r>
    </w:p>
    <w:tbl>
      <w:tblPr>
        <w:tblpPr w:leftFromText="180" w:rightFromText="180" w:vertAnchor="text" w:horzAnchor="margin" w:tblpY="93"/>
        <w:tblOverlap w:val="never"/>
        <w:tblW w:w="4975" w:type="dxa"/>
        <w:tblLayout w:type="fixed"/>
        <w:tblLook w:val="01E0"/>
      </w:tblPr>
      <w:tblGrid>
        <w:gridCol w:w="4975"/>
      </w:tblGrid>
      <w:tr w:rsidR="00133395" w:rsidRPr="00A918C1" w:rsidTr="00133395">
        <w:trPr>
          <w:trHeight w:val="2938"/>
        </w:trPr>
        <w:tc>
          <w:tcPr>
            <w:tcW w:w="4975" w:type="dxa"/>
          </w:tcPr>
          <w:p w:rsidR="00133395" w:rsidRDefault="00133395" w:rsidP="00133395">
            <w:pPr>
              <w:pStyle w:val="PFCBulletedText2"/>
              <w:spacing w:before="120" w:after="0"/>
              <w:ind w:left="0" w:firstLine="0"/>
              <w:jc w:val="left"/>
              <w:rPr>
                <w:noProof/>
                <w:lang w:eastAsia="en-US"/>
              </w:rPr>
            </w:pPr>
            <w:r>
              <w:rPr>
                <w:noProof/>
                <w:lang w:val="fr-FR" w:eastAsia="zh-CN"/>
              </w:rPr>
              <w:drawing>
                <wp:inline distT="0" distB="0" distL="0" distR="0">
                  <wp:extent cx="3019425" cy="2286000"/>
                  <wp:effectExtent l="19050" t="0" r="9525" b="0"/>
                  <wp:docPr id="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3019425" cy="2286000"/>
                          </a:xfrm>
                          <a:prstGeom prst="rect">
                            <a:avLst/>
                          </a:prstGeom>
                          <a:noFill/>
                          <a:ln w="9525">
                            <a:noFill/>
                            <a:miter lim="800000"/>
                            <a:headEnd/>
                            <a:tailEnd/>
                          </a:ln>
                        </pic:spPr>
                      </pic:pic>
                    </a:graphicData>
                  </a:graphic>
                </wp:inline>
              </w:drawing>
            </w:r>
          </w:p>
          <w:p w:rsidR="00133395" w:rsidRDefault="00133395" w:rsidP="00133395">
            <w:pPr>
              <w:pStyle w:val="PFCBulletedText2"/>
              <w:ind w:left="0" w:firstLine="0"/>
              <w:jc w:val="left"/>
              <w:rPr>
                <w:b/>
                <w:sz w:val="18"/>
                <w:szCs w:val="18"/>
              </w:rPr>
            </w:pPr>
            <w:r>
              <w:rPr>
                <w:b/>
                <w:sz w:val="18"/>
                <w:szCs w:val="18"/>
              </w:rPr>
              <w:t>Figure 4.5</w:t>
            </w:r>
            <w:r w:rsidRPr="005733C3">
              <w:rPr>
                <w:b/>
                <w:sz w:val="18"/>
                <w:szCs w:val="18"/>
              </w:rPr>
              <w:t xml:space="preserve">:  </w:t>
            </w:r>
            <w:r>
              <w:rPr>
                <w:b/>
                <w:sz w:val="18"/>
                <w:szCs w:val="18"/>
              </w:rPr>
              <w:t>Liquefaction Capacity by Country: 2012 Capacity (MTPA) and Utilization</w:t>
            </w:r>
          </w:p>
          <w:p w:rsidR="00133395" w:rsidRPr="002055A2" w:rsidRDefault="00133395" w:rsidP="00133395">
            <w:pPr>
              <w:pStyle w:val="PFCBulletedText2"/>
              <w:ind w:left="0" w:firstLine="0"/>
              <w:jc w:val="left"/>
              <w:rPr>
                <w:b/>
                <w:sz w:val="18"/>
                <w:szCs w:val="18"/>
              </w:rPr>
            </w:pPr>
            <w:r>
              <w:rPr>
                <w:i/>
                <w:sz w:val="16"/>
                <w:szCs w:val="16"/>
              </w:rPr>
              <w:t>S</w:t>
            </w:r>
            <w:r w:rsidRPr="005733C3">
              <w:rPr>
                <w:i/>
                <w:sz w:val="16"/>
                <w:szCs w:val="16"/>
              </w:rPr>
              <w:t>ources: PFC Energy Global LNG Service</w:t>
            </w:r>
          </w:p>
        </w:tc>
      </w:tr>
    </w:tbl>
    <w:p w:rsidR="00766BE0" w:rsidRPr="0060385A" w:rsidRDefault="00766BE0" w:rsidP="00766BE0">
      <w:pPr>
        <w:spacing w:line="252" w:lineRule="auto"/>
        <w:ind w:left="180"/>
        <w:jc w:val="both"/>
        <w:rPr>
          <w:sz w:val="18"/>
          <w:lang w:val="en-GB"/>
        </w:rPr>
      </w:pPr>
      <w:r w:rsidRPr="0060385A">
        <w:rPr>
          <w:sz w:val="18"/>
          <w:lang w:val="en-GB"/>
        </w:rPr>
        <w:t>Beyond Australia, the largest expansion in LNG exporting capacity is expected</w:t>
      </w:r>
      <w:r w:rsidR="00350FA9">
        <w:rPr>
          <w:sz w:val="18"/>
          <w:lang w:val="en-GB"/>
        </w:rPr>
        <w:t xml:space="preserve"> from the </w:t>
      </w:r>
      <w:r w:rsidR="00350FA9" w:rsidRPr="00133395">
        <w:rPr>
          <w:sz w:val="18"/>
          <w:lang w:val="en-GB"/>
        </w:rPr>
        <w:t>United States, where 18</w:t>
      </w:r>
      <w:r w:rsidRPr="00133395">
        <w:rPr>
          <w:sz w:val="18"/>
          <w:lang w:val="en-GB"/>
        </w:rPr>
        <w:t xml:space="preserve"> MTPA of liquefaction capacity is currently</w:t>
      </w:r>
      <w:r w:rsidRPr="0060385A">
        <w:rPr>
          <w:sz w:val="18"/>
          <w:lang w:val="en-GB"/>
        </w:rPr>
        <w:t xml:space="preserve"> under construction. Papua New Guinea, Malaysia, and Angola account for another 17.6 MTPA, while smaller projects are under construction in Indonesia and Colombia.</w:t>
      </w:r>
    </w:p>
    <w:p w:rsidR="00766BE0" w:rsidRPr="0060385A" w:rsidRDefault="00766BE0" w:rsidP="00766BE0">
      <w:pPr>
        <w:spacing w:line="252" w:lineRule="auto"/>
        <w:ind w:left="180"/>
        <w:jc w:val="both"/>
        <w:rPr>
          <w:sz w:val="18"/>
          <w:lang w:val="en-GB"/>
        </w:rPr>
      </w:pPr>
      <w:r w:rsidRPr="0060385A">
        <w:rPr>
          <w:sz w:val="18"/>
          <w:lang w:val="en-GB"/>
        </w:rPr>
        <w:t xml:space="preserve">  </w:t>
      </w:r>
    </w:p>
    <w:p w:rsidR="00766BE0" w:rsidRPr="0060385A" w:rsidRDefault="00766BE0" w:rsidP="00766BE0">
      <w:pPr>
        <w:spacing w:line="252" w:lineRule="auto"/>
        <w:ind w:left="180"/>
        <w:jc w:val="both"/>
        <w:rPr>
          <w:sz w:val="18"/>
          <w:lang w:val="en-GB"/>
        </w:rPr>
      </w:pPr>
      <w:r w:rsidRPr="0060385A">
        <w:rPr>
          <w:sz w:val="18"/>
          <w:lang w:val="en-GB"/>
        </w:rPr>
        <w:t xml:space="preserve">A number of new large-scale projects were proposed in 2012 that are expected to add significantly to global liquefaction capacity. New liquefaction projects continue to be proposed almost monthly in the United States, with the current total standing at 43 trains comprising 180 MTPA of proposed capacity that has not yet reached FID, most of which is located in the Gulf of Mexico. For a more detailed look at the potential for North American LNG, see </w:t>
      </w:r>
      <w:r>
        <w:rPr>
          <w:sz w:val="18"/>
          <w:lang w:val="en-GB"/>
        </w:rPr>
        <w:t xml:space="preserve">the </w:t>
      </w:r>
      <w:r w:rsidRPr="0060385A">
        <w:rPr>
          <w:sz w:val="18"/>
          <w:lang w:val="en-GB"/>
        </w:rPr>
        <w:t>North America Special Report</w:t>
      </w:r>
      <w:r>
        <w:rPr>
          <w:sz w:val="18"/>
          <w:lang w:val="en-GB"/>
        </w:rPr>
        <w:t xml:space="preserve"> in Section 6</w:t>
      </w:r>
      <w:r w:rsidRPr="0060385A">
        <w:rPr>
          <w:sz w:val="18"/>
          <w:lang w:val="en-GB"/>
        </w:rPr>
        <w:t xml:space="preserve">. </w:t>
      </w:r>
    </w:p>
    <w:p w:rsidR="00766BE0" w:rsidRPr="0060385A" w:rsidRDefault="00766BE0" w:rsidP="00766BE0">
      <w:pPr>
        <w:spacing w:line="252" w:lineRule="auto"/>
        <w:ind w:left="180"/>
        <w:jc w:val="both"/>
        <w:rPr>
          <w:sz w:val="18"/>
          <w:lang w:val="en-GB"/>
        </w:rPr>
      </w:pPr>
    </w:p>
    <w:p w:rsidR="00766BE0" w:rsidRPr="0060385A" w:rsidRDefault="00766BE0" w:rsidP="00766BE0">
      <w:pPr>
        <w:spacing w:line="252" w:lineRule="auto"/>
        <w:ind w:left="180"/>
        <w:jc w:val="both"/>
        <w:rPr>
          <w:sz w:val="18"/>
          <w:lang w:val="en-GB"/>
        </w:rPr>
      </w:pPr>
      <w:r w:rsidRPr="0060385A">
        <w:rPr>
          <w:sz w:val="18"/>
          <w:lang w:val="en-GB"/>
        </w:rPr>
        <w:t>Momentum has also built up around projects in Western Canada, where 15 trains totalling 55 MTPA have been proposed; and in Tanzania and Mozambique, where huge resource estimates have led to the proposal of 6 trains (for a total of 30 MTPA), though the potential exists for major expansions.</w:t>
      </w:r>
    </w:p>
    <w:p w:rsidR="00766BE0" w:rsidRPr="0060385A" w:rsidRDefault="00766BE0" w:rsidP="00766BE0">
      <w:pPr>
        <w:spacing w:line="252" w:lineRule="auto"/>
        <w:ind w:left="180"/>
        <w:jc w:val="both"/>
        <w:rPr>
          <w:sz w:val="18"/>
          <w:lang w:val="en-GB"/>
        </w:rPr>
      </w:pPr>
    </w:p>
    <w:p w:rsidR="00766BE0" w:rsidRPr="0060385A" w:rsidRDefault="00766BE0" w:rsidP="00766BE0">
      <w:pPr>
        <w:spacing w:line="252" w:lineRule="auto"/>
        <w:ind w:left="180"/>
        <w:jc w:val="both"/>
        <w:rPr>
          <w:sz w:val="18"/>
          <w:lang w:val="en-GB"/>
        </w:rPr>
      </w:pPr>
      <w:r w:rsidRPr="0060385A">
        <w:rPr>
          <w:sz w:val="18"/>
          <w:lang w:val="en-GB"/>
        </w:rPr>
        <w:t>Several LNG trains are scheduled to be decommissioned in the next five years.  Indonesia's Arun LNG will continue to retire its trains as it transitions to an import facility, with the remaining trains expected offline by 2014. Algeria’s Arzew and Skikda plants are expected to decommission plants as its new trains (totalling 9.2 MTPA currently under construction) come online.</w:t>
      </w:r>
    </w:p>
    <w:p w:rsidR="00766BE0" w:rsidRDefault="00766BE0" w:rsidP="00C401C6">
      <w:pPr>
        <w:pStyle w:val="Titre2"/>
        <w:ind w:left="180"/>
        <w:rPr>
          <w:lang w:val="en-GB"/>
        </w:rPr>
      </w:pPr>
      <w:bookmarkStart w:id="17" w:name="_Toc360628238"/>
      <w:r>
        <w:rPr>
          <w:lang w:val="en-GB"/>
        </w:rPr>
        <w:t>4.4 LIQUEFACTION CAPACITY AND UTILIZATION BY REGION</w:t>
      </w:r>
      <w:bookmarkEnd w:id="17"/>
      <w:r>
        <w:rPr>
          <w:lang w:val="en-GB"/>
        </w:rPr>
        <w:t xml:space="preserve"> </w:t>
      </w:r>
    </w:p>
    <w:p w:rsidR="00766BE0"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60385A">
        <w:rPr>
          <w:sz w:val="18"/>
          <w:lang w:val="en-GB"/>
        </w:rPr>
        <w:t>The Pacific Basin accounted for the largest percent of liquefa</w:t>
      </w:r>
      <w:r>
        <w:rPr>
          <w:sz w:val="18"/>
          <w:lang w:val="en-GB"/>
        </w:rPr>
        <w:t xml:space="preserve">ction capacity in 2012 with </w:t>
      </w:r>
      <w:r w:rsidR="00225CB6">
        <w:rPr>
          <w:sz w:val="18"/>
          <w:lang w:val="en-GB"/>
        </w:rPr>
        <w:t>37</w:t>
      </w:r>
      <w:r>
        <w:rPr>
          <w:sz w:val="18"/>
          <w:lang w:val="en-GB"/>
        </w:rPr>
        <w:t>%</w:t>
      </w:r>
      <w:r w:rsidRPr="0060385A">
        <w:rPr>
          <w:sz w:val="18"/>
          <w:lang w:val="en-GB"/>
        </w:rPr>
        <w:t xml:space="preserve">. This share will </w:t>
      </w:r>
      <w:r w:rsidRPr="0060385A">
        <w:rPr>
          <w:sz w:val="18"/>
          <w:lang w:val="en-GB"/>
        </w:rPr>
        <w:lastRenderedPageBreak/>
        <w:t xml:space="preserve">increase through 2017 as the region is host to the majority of under-construction projects; </w:t>
      </w:r>
      <w:r w:rsidR="00225CB6">
        <w:rPr>
          <w:sz w:val="18"/>
          <w:lang w:val="en-GB"/>
        </w:rPr>
        <w:t>47</w:t>
      </w:r>
      <w:r w:rsidRPr="0060385A">
        <w:rPr>
          <w:sz w:val="18"/>
          <w:lang w:val="en-GB"/>
        </w:rPr>
        <w:t xml:space="preserve">% of capacity expected online by 2017 is in the Pacific Basin. </w:t>
      </w:r>
    </w:p>
    <w:p w:rsidR="00350FA9" w:rsidRDefault="00350FA9" w:rsidP="00350FA9">
      <w:pPr>
        <w:spacing w:line="252" w:lineRule="auto"/>
        <w:ind w:left="180"/>
        <w:jc w:val="both"/>
        <w:rPr>
          <w:sz w:val="18"/>
          <w:lang w:val="en-GB"/>
        </w:rPr>
      </w:pPr>
      <w:r w:rsidRPr="0060385A">
        <w:rPr>
          <w:sz w:val="18"/>
          <w:lang w:val="en-GB"/>
        </w:rPr>
        <w:t>Although Qatar’s growth over the past decade led the Middle East to nearly equal the Pacific Basin in existing capacity, capacity in the region is likely to remain flat through 2017. The Atlantic Basin has shown only a small increase in capacity since 2007, and despite the large scale of proposed projects in the US Gulf Coast, the fairly nascent status of most of the US liquefaction proposals will lead growth to be fairly moderate through</w:t>
      </w:r>
      <w:r w:rsidRPr="002A78D8">
        <w:rPr>
          <w:sz w:val="18"/>
          <w:lang w:val="en-GB"/>
        </w:rPr>
        <w:t xml:space="preserve"> 2017 as only one US project (Sabine Pass LNG) is expected to come online.</w:t>
      </w:r>
    </w:p>
    <w:tbl>
      <w:tblPr>
        <w:tblpPr w:leftFromText="180" w:rightFromText="180" w:vertAnchor="text" w:horzAnchor="margin" w:tblpY="121"/>
        <w:tblW w:w="4975" w:type="dxa"/>
        <w:tblLayout w:type="fixed"/>
        <w:tblLook w:val="01E0"/>
      </w:tblPr>
      <w:tblGrid>
        <w:gridCol w:w="4975"/>
      </w:tblGrid>
      <w:tr w:rsidR="00350FA9" w:rsidRPr="0060385A" w:rsidTr="00350FA9">
        <w:trPr>
          <w:trHeight w:val="2938"/>
        </w:trPr>
        <w:tc>
          <w:tcPr>
            <w:tcW w:w="4975" w:type="dxa"/>
          </w:tcPr>
          <w:p w:rsidR="00350FA9" w:rsidRPr="0060385A" w:rsidRDefault="00350FA9" w:rsidP="00350FA9">
            <w:pPr>
              <w:pStyle w:val="PFCBulletedText2"/>
              <w:spacing w:before="120" w:after="0"/>
              <w:ind w:left="0" w:firstLine="0"/>
              <w:jc w:val="left"/>
              <w:rPr>
                <w:noProof/>
                <w:lang w:eastAsia="en-US"/>
              </w:rPr>
            </w:pPr>
            <w:r>
              <w:rPr>
                <w:noProof/>
                <w:lang w:val="fr-FR" w:eastAsia="zh-CN"/>
              </w:rPr>
              <w:drawing>
                <wp:inline distT="0" distB="0" distL="0" distR="0">
                  <wp:extent cx="3019425" cy="2113280"/>
                  <wp:effectExtent l="19050" t="0" r="952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3019425" cy="2113280"/>
                          </a:xfrm>
                          <a:prstGeom prst="rect">
                            <a:avLst/>
                          </a:prstGeom>
                          <a:noFill/>
                          <a:ln w="9525">
                            <a:noFill/>
                            <a:miter lim="800000"/>
                            <a:headEnd/>
                            <a:tailEnd/>
                          </a:ln>
                        </pic:spPr>
                      </pic:pic>
                    </a:graphicData>
                  </a:graphic>
                </wp:inline>
              </w:drawing>
            </w:r>
          </w:p>
          <w:p w:rsidR="00350FA9" w:rsidRPr="0060385A" w:rsidRDefault="00350FA9" w:rsidP="00350FA9">
            <w:pPr>
              <w:pStyle w:val="PFCBulletedText2"/>
              <w:ind w:left="0" w:firstLine="0"/>
              <w:jc w:val="left"/>
              <w:rPr>
                <w:b/>
                <w:sz w:val="18"/>
                <w:szCs w:val="18"/>
              </w:rPr>
            </w:pPr>
            <w:r w:rsidRPr="0060385A">
              <w:rPr>
                <w:b/>
                <w:sz w:val="18"/>
                <w:szCs w:val="18"/>
              </w:rPr>
              <w:t xml:space="preserve">Figure </w:t>
            </w:r>
            <w:r>
              <w:rPr>
                <w:b/>
                <w:sz w:val="18"/>
                <w:szCs w:val="18"/>
              </w:rPr>
              <w:t>4.</w:t>
            </w:r>
            <w:r w:rsidRPr="0060385A">
              <w:rPr>
                <w:b/>
                <w:sz w:val="18"/>
                <w:szCs w:val="18"/>
              </w:rPr>
              <w:t>6: Liquefaction Capacity by Basin in 2007, 2012, and 2017</w:t>
            </w:r>
          </w:p>
          <w:p w:rsidR="00350FA9" w:rsidRPr="0060385A" w:rsidRDefault="00350FA9" w:rsidP="00350FA9">
            <w:pPr>
              <w:pStyle w:val="PFCBulletedText2"/>
              <w:ind w:left="0" w:firstLine="0"/>
              <w:jc w:val="left"/>
              <w:rPr>
                <w:b/>
                <w:sz w:val="18"/>
                <w:szCs w:val="18"/>
              </w:rPr>
            </w:pPr>
            <w:r w:rsidRPr="0060385A">
              <w:rPr>
                <w:i/>
                <w:sz w:val="16"/>
                <w:szCs w:val="16"/>
              </w:rPr>
              <w:t>Sources: PFC Energy Global LNG Service, Company Announcements</w:t>
            </w:r>
          </w:p>
        </w:tc>
      </w:tr>
    </w:tbl>
    <w:p w:rsidR="00766BE0" w:rsidRPr="0060385A"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60385A">
        <w:rPr>
          <w:sz w:val="18"/>
          <w:lang w:val="en-GB"/>
        </w:rPr>
        <w:t>Growth in Australian capacity is expected to outpace the rest of the world in the medium term, although a number of other Pacific Basin projects – including those in Canada, Mozambique, Tanzania, and Russia – have the potential to add significant liquefaction</w:t>
      </w:r>
      <w:r w:rsidRPr="008D4449">
        <w:rPr>
          <w:sz w:val="18"/>
          <w:lang w:val="en-GB"/>
        </w:rPr>
        <w:t xml:space="preserve"> capacity in the Pacific Basin in the long</w:t>
      </w:r>
      <w:r>
        <w:rPr>
          <w:sz w:val="18"/>
          <w:lang w:val="en-GB"/>
        </w:rPr>
        <w:t xml:space="preserve"> </w:t>
      </w:r>
      <w:r w:rsidRPr="008D4449">
        <w:rPr>
          <w:sz w:val="18"/>
          <w:lang w:val="en-GB"/>
        </w:rPr>
        <w:t>term as well.</w:t>
      </w:r>
    </w:p>
    <w:p w:rsidR="00766BE0" w:rsidRDefault="00766BE0" w:rsidP="00C401C6">
      <w:pPr>
        <w:pStyle w:val="Titre2"/>
        <w:ind w:firstLine="180"/>
        <w:rPr>
          <w:lang w:val="en-GB"/>
        </w:rPr>
      </w:pPr>
      <w:bookmarkStart w:id="18" w:name="_Toc360628239"/>
      <w:r w:rsidRPr="00D03D53">
        <w:rPr>
          <w:lang w:val="en-GB"/>
        </w:rPr>
        <w:t>4.5 LIQUEFACTION PROCESSES</w:t>
      </w:r>
      <w:bookmarkEnd w:id="18"/>
      <w:r>
        <w:rPr>
          <w:lang w:val="en-GB"/>
        </w:rPr>
        <w:t xml:space="preserve"> </w:t>
      </w:r>
    </w:p>
    <w:p w:rsidR="00766BE0" w:rsidRDefault="00766BE0" w:rsidP="00766BE0">
      <w:pPr>
        <w:spacing w:line="252" w:lineRule="auto"/>
        <w:ind w:left="180"/>
        <w:jc w:val="both"/>
        <w:rPr>
          <w:sz w:val="18"/>
          <w:lang w:val="en-GB"/>
        </w:rPr>
      </w:pPr>
    </w:p>
    <w:tbl>
      <w:tblPr>
        <w:tblStyle w:val="Grillemoyenne3-Accent3"/>
        <w:tblpPr w:leftFromText="180" w:rightFromText="180" w:vertAnchor="text" w:horzAnchor="margin" w:tblpY="1939"/>
        <w:tblOverlap w:val="never"/>
        <w:tblW w:w="10095" w:type="dxa"/>
        <w:tblLayout w:type="fixed"/>
        <w:tblLook w:val="04A0"/>
      </w:tblPr>
      <w:tblGrid>
        <w:gridCol w:w="2243"/>
        <w:gridCol w:w="991"/>
        <w:gridCol w:w="991"/>
        <w:gridCol w:w="1532"/>
        <w:gridCol w:w="2073"/>
        <w:gridCol w:w="2265"/>
      </w:tblGrid>
      <w:tr w:rsidR="00C33AD1" w:rsidTr="00B2349D">
        <w:trPr>
          <w:cnfStyle w:val="100000000000"/>
          <w:trHeight w:val="184"/>
        </w:trPr>
        <w:tc>
          <w:tcPr>
            <w:cnfStyle w:val="001000000000"/>
            <w:tcW w:w="2243" w:type="dxa"/>
            <w:vAlign w:val="center"/>
          </w:tcPr>
          <w:p w:rsidR="00C33AD1" w:rsidRDefault="00C33AD1" w:rsidP="00B2349D">
            <w:pPr>
              <w:rPr>
                <w:sz w:val="18"/>
                <w:szCs w:val="22"/>
                <w:lang w:val="en-GB"/>
              </w:rPr>
            </w:pPr>
            <w:r>
              <w:rPr>
                <w:sz w:val="18"/>
                <w:szCs w:val="22"/>
                <w:lang w:val="en-GB"/>
              </w:rPr>
              <w:t>Basin</w:t>
            </w:r>
          </w:p>
        </w:tc>
        <w:tc>
          <w:tcPr>
            <w:tcW w:w="991" w:type="dxa"/>
            <w:vAlign w:val="center"/>
          </w:tcPr>
          <w:p w:rsidR="00C33AD1" w:rsidRDefault="00C33AD1" w:rsidP="00B2349D">
            <w:pPr>
              <w:jc w:val="center"/>
              <w:cnfStyle w:val="100000000000"/>
              <w:rPr>
                <w:sz w:val="18"/>
                <w:szCs w:val="22"/>
                <w:lang w:val="en-GB"/>
              </w:rPr>
            </w:pPr>
            <w:r>
              <w:rPr>
                <w:sz w:val="18"/>
                <w:szCs w:val="22"/>
                <w:lang w:val="en-GB"/>
              </w:rPr>
              <w:t>2007</w:t>
            </w:r>
          </w:p>
        </w:tc>
        <w:tc>
          <w:tcPr>
            <w:tcW w:w="991" w:type="dxa"/>
            <w:vAlign w:val="center"/>
          </w:tcPr>
          <w:p w:rsidR="00C33AD1" w:rsidRDefault="00C33AD1" w:rsidP="00B2349D">
            <w:pPr>
              <w:jc w:val="center"/>
              <w:cnfStyle w:val="100000000000"/>
              <w:rPr>
                <w:sz w:val="18"/>
                <w:szCs w:val="22"/>
                <w:lang w:val="en-GB"/>
              </w:rPr>
            </w:pPr>
            <w:r>
              <w:rPr>
                <w:sz w:val="18"/>
                <w:szCs w:val="22"/>
                <w:lang w:val="en-GB"/>
              </w:rPr>
              <w:t>2012</w:t>
            </w:r>
          </w:p>
        </w:tc>
        <w:tc>
          <w:tcPr>
            <w:tcW w:w="1532" w:type="dxa"/>
          </w:tcPr>
          <w:p w:rsidR="00C33AD1" w:rsidRDefault="00C33AD1" w:rsidP="00B2349D">
            <w:pPr>
              <w:jc w:val="center"/>
              <w:cnfStyle w:val="100000000000"/>
              <w:rPr>
                <w:sz w:val="18"/>
                <w:szCs w:val="22"/>
                <w:lang w:val="en-GB"/>
              </w:rPr>
            </w:pPr>
            <w:r>
              <w:rPr>
                <w:sz w:val="18"/>
                <w:szCs w:val="22"/>
                <w:lang w:val="en-GB"/>
              </w:rPr>
              <w:t>2017 (Anticipated)</w:t>
            </w:r>
          </w:p>
        </w:tc>
        <w:tc>
          <w:tcPr>
            <w:tcW w:w="2073" w:type="dxa"/>
          </w:tcPr>
          <w:p w:rsidR="00C33AD1" w:rsidRDefault="00C33AD1" w:rsidP="00B2349D">
            <w:pPr>
              <w:jc w:val="center"/>
              <w:cnfStyle w:val="100000000000"/>
              <w:rPr>
                <w:sz w:val="18"/>
                <w:szCs w:val="22"/>
                <w:lang w:val="en-GB"/>
              </w:rPr>
            </w:pPr>
            <w:r>
              <w:rPr>
                <w:sz w:val="18"/>
                <w:szCs w:val="22"/>
                <w:lang w:val="en-GB"/>
              </w:rPr>
              <w:t>% Growth 2007-2012 (Actual)</w:t>
            </w:r>
          </w:p>
        </w:tc>
        <w:tc>
          <w:tcPr>
            <w:tcW w:w="2265" w:type="dxa"/>
          </w:tcPr>
          <w:p w:rsidR="00C33AD1" w:rsidRDefault="00C33AD1" w:rsidP="00B2349D">
            <w:pPr>
              <w:jc w:val="center"/>
              <w:cnfStyle w:val="100000000000"/>
              <w:rPr>
                <w:sz w:val="18"/>
                <w:szCs w:val="22"/>
                <w:lang w:val="en-GB"/>
              </w:rPr>
            </w:pPr>
            <w:r>
              <w:rPr>
                <w:sz w:val="18"/>
                <w:szCs w:val="22"/>
                <w:lang w:val="en-GB"/>
              </w:rPr>
              <w:t>% Growth 2012-2017 (Anticipated)</w:t>
            </w:r>
          </w:p>
        </w:tc>
      </w:tr>
      <w:tr w:rsidR="00C33AD1" w:rsidTr="00B2349D">
        <w:trPr>
          <w:cnfStyle w:val="000000100000"/>
          <w:trHeight w:val="184"/>
        </w:trPr>
        <w:tc>
          <w:tcPr>
            <w:cnfStyle w:val="001000000000"/>
            <w:tcW w:w="2243" w:type="dxa"/>
            <w:vAlign w:val="center"/>
          </w:tcPr>
          <w:p w:rsidR="00C33AD1" w:rsidRPr="008412DF" w:rsidRDefault="00C33AD1" w:rsidP="00B2349D">
            <w:pPr>
              <w:rPr>
                <w:sz w:val="18"/>
                <w:szCs w:val="22"/>
                <w:lang w:val="en-GB"/>
              </w:rPr>
            </w:pPr>
            <w:r>
              <w:rPr>
                <w:rFonts w:eastAsia="Times New Roman" w:cs="Arial"/>
                <w:sz w:val="18"/>
                <w:szCs w:val="18"/>
                <w:lang w:eastAsia="en-US"/>
              </w:rPr>
              <w:t>Atlantic-Mediterranean</w:t>
            </w:r>
          </w:p>
        </w:tc>
        <w:tc>
          <w:tcPr>
            <w:tcW w:w="991"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 xml:space="preserve">69.1 </w:t>
            </w:r>
          </w:p>
        </w:tc>
        <w:tc>
          <w:tcPr>
            <w:tcW w:w="991"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 xml:space="preserve">77.1 </w:t>
            </w:r>
          </w:p>
        </w:tc>
        <w:tc>
          <w:tcPr>
            <w:tcW w:w="1532"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 xml:space="preserve">92.0 </w:t>
            </w:r>
          </w:p>
        </w:tc>
        <w:tc>
          <w:tcPr>
            <w:tcW w:w="2073"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12%</w:t>
            </w:r>
          </w:p>
        </w:tc>
        <w:tc>
          <w:tcPr>
            <w:tcW w:w="2265"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19%</w:t>
            </w:r>
          </w:p>
        </w:tc>
      </w:tr>
      <w:tr w:rsidR="00C33AD1" w:rsidTr="00B2349D">
        <w:trPr>
          <w:cnfStyle w:val="000000010000"/>
          <w:trHeight w:val="184"/>
        </w:trPr>
        <w:tc>
          <w:tcPr>
            <w:cnfStyle w:val="001000000000"/>
            <w:tcW w:w="2243" w:type="dxa"/>
            <w:vAlign w:val="center"/>
          </w:tcPr>
          <w:p w:rsidR="00C33AD1" w:rsidRPr="008412DF" w:rsidRDefault="00C33AD1" w:rsidP="00B2349D">
            <w:pPr>
              <w:widowControl/>
              <w:rPr>
                <w:rFonts w:eastAsia="Times New Roman" w:cs="Arial"/>
                <w:sz w:val="18"/>
                <w:szCs w:val="18"/>
                <w:lang w:eastAsia="en-US"/>
              </w:rPr>
            </w:pPr>
            <w:r>
              <w:rPr>
                <w:rFonts w:eastAsia="Times New Roman" w:cs="Arial"/>
                <w:sz w:val="18"/>
                <w:szCs w:val="18"/>
                <w:lang w:eastAsia="en-US"/>
              </w:rPr>
              <w:t>Middle East</w:t>
            </w:r>
          </w:p>
        </w:tc>
        <w:tc>
          <w:tcPr>
            <w:tcW w:w="991" w:type="dxa"/>
            <w:vAlign w:val="bottom"/>
          </w:tcPr>
          <w:p w:rsidR="00C33AD1" w:rsidRPr="00225CB6" w:rsidRDefault="00C33AD1" w:rsidP="00B2349D">
            <w:pPr>
              <w:jc w:val="center"/>
              <w:cnfStyle w:val="000000010000"/>
              <w:rPr>
                <w:rFonts w:cs="Arial"/>
                <w:sz w:val="18"/>
                <w:szCs w:val="18"/>
              </w:rPr>
            </w:pPr>
            <w:r w:rsidRPr="00225CB6">
              <w:rPr>
                <w:rFonts w:cs="Arial"/>
                <w:sz w:val="18"/>
                <w:szCs w:val="18"/>
              </w:rPr>
              <w:t xml:space="preserve">46.0 </w:t>
            </w:r>
          </w:p>
        </w:tc>
        <w:tc>
          <w:tcPr>
            <w:tcW w:w="991" w:type="dxa"/>
            <w:vAlign w:val="bottom"/>
          </w:tcPr>
          <w:p w:rsidR="00C33AD1" w:rsidRPr="00225CB6" w:rsidRDefault="00C33AD1" w:rsidP="00B2349D">
            <w:pPr>
              <w:jc w:val="center"/>
              <w:cnfStyle w:val="000000010000"/>
              <w:rPr>
                <w:rFonts w:cs="Arial"/>
                <w:sz w:val="18"/>
                <w:szCs w:val="18"/>
              </w:rPr>
            </w:pPr>
            <w:r w:rsidRPr="00225CB6">
              <w:rPr>
                <w:rFonts w:cs="Arial"/>
                <w:sz w:val="18"/>
                <w:szCs w:val="18"/>
              </w:rPr>
              <w:t xml:space="preserve">100.3 </w:t>
            </w:r>
          </w:p>
        </w:tc>
        <w:tc>
          <w:tcPr>
            <w:tcW w:w="1532" w:type="dxa"/>
            <w:vAlign w:val="bottom"/>
          </w:tcPr>
          <w:p w:rsidR="00C33AD1" w:rsidRPr="00225CB6" w:rsidRDefault="00C33AD1" w:rsidP="00B2349D">
            <w:pPr>
              <w:jc w:val="center"/>
              <w:cnfStyle w:val="000000010000"/>
              <w:rPr>
                <w:rFonts w:cs="Arial"/>
                <w:sz w:val="18"/>
                <w:szCs w:val="18"/>
              </w:rPr>
            </w:pPr>
            <w:r w:rsidRPr="00225CB6">
              <w:rPr>
                <w:rFonts w:cs="Arial"/>
                <w:sz w:val="18"/>
                <w:szCs w:val="18"/>
              </w:rPr>
              <w:t xml:space="preserve">100.3 </w:t>
            </w:r>
          </w:p>
        </w:tc>
        <w:tc>
          <w:tcPr>
            <w:tcW w:w="2073" w:type="dxa"/>
            <w:vAlign w:val="bottom"/>
          </w:tcPr>
          <w:p w:rsidR="00C33AD1" w:rsidRPr="00225CB6" w:rsidRDefault="00C33AD1" w:rsidP="00B2349D">
            <w:pPr>
              <w:jc w:val="center"/>
              <w:cnfStyle w:val="000000010000"/>
              <w:rPr>
                <w:rFonts w:cs="Arial"/>
                <w:sz w:val="18"/>
                <w:szCs w:val="18"/>
              </w:rPr>
            </w:pPr>
            <w:r w:rsidRPr="00225CB6">
              <w:rPr>
                <w:rFonts w:cs="Arial"/>
                <w:sz w:val="18"/>
                <w:szCs w:val="18"/>
              </w:rPr>
              <w:t>118%</w:t>
            </w:r>
          </w:p>
        </w:tc>
        <w:tc>
          <w:tcPr>
            <w:tcW w:w="2265" w:type="dxa"/>
            <w:vAlign w:val="bottom"/>
          </w:tcPr>
          <w:p w:rsidR="00C33AD1" w:rsidRPr="00225CB6" w:rsidRDefault="00C33AD1" w:rsidP="00B2349D">
            <w:pPr>
              <w:jc w:val="center"/>
              <w:cnfStyle w:val="000000010000"/>
              <w:rPr>
                <w:rFonts w:cs="Arial"/>
                <w:sz w:val="18"/>
                <w:szCs w:val="18"/>
              </w:rPr>
            </w:pPr>
            <w:r w:rsidRPr="00225CB6">
              <w:rPr>
                <w:rFonts w:cs="Arial"/>
                <w:sz w:val="18"/>
                <w:szCs w:val="18"/>
              </w:rPr>
              <w:t>0%</w:t>
            </w:r>
          </w:p>
        </w:tc>
      </w:tr>
      <w:tr w:rsidR="00C33AD1" w:rsidTr="00B2349D">
        <w:trPr>
          <w:cnfStyle w:val="000000100000"/>
          <w:trHeight w:val="184"/>
        </w:trPr>
        <w:tc>
          <w:tcPr>
            <w:cnfStyle w:val="001000000000"/>
            <w:tcW w:w="2243" w:type="dxa"/>
            <w:vAlign w:val="center"/>
          </w:tcPr>
          <w:p w:rsidR="00C33AD1" w:rsidRPr="008412DF" w:rsidRDefault="00C33AD1" w:rsidP="00B2349D">
            <w:pPr>
              <w:widowControl/>
              <w:rPr>
                <w:rFonts w:eastAsia="Times New Roman" w:cs="Arial"/>
                <w:sz w:val="18"/>
                <w:szCs w:val="18"/>
                <w:lang w:eastAsia="en-US"/>
              </w:rPr>
            </w:pPr>
            <w:r>
              <w:rPr>
                <w:rFonts w:eastAsia="Times New Roman" w:cs="Arial"/>
                <w:sz w:val="18"/>
                <w:szCs w:val="18"/>
                <w:lang w:eastAsia="en-US"/>
              </w:rPr>
              <w:t>Pacific</w:t>
            </w:r>
          </w:p>
        </w:tc>
        <w:tc>
          <w:tcPr>
            <w:tcW w:w="991"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 xml:space="preserve">78.3 </w:t>
            </w:r>
          </w:p>
        </w:tc>
        <w:tc>
          <w:tcPr>
            <w:tcW w:w="991"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 xml:space="preserve">103.5 </w:t>
            </w:r>
          </w:p>
        </w:tc>
        <w:tc>
          <w:tcPr>
            <w:tcW w:w="1532"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 xml:space="preserve">173.2 </w:t>
            </w:r>
          </w:p>
        </w:tc>
        <w:tc>
          <w:tcPr>
            <w:tcW w:w="2073"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32%</w:t>
            </w:r>
          </w:p>
        </w:tc>
        <w:tc>
          <w:tcPr>
            <w:tcW w:w="2265" w:type="dxa"/>
            <w:vAlign w:val="bottom"/>
          </w:tcPr>
          <w:p w:rsidR="00C33AD1" w:rsidRPr="00225CB6" w:rsidRDefault="00C33AD1" w:rsidP="00B2349D">
            <w:pPr>
              <w:jc w:val="center"/>
              <w:cnfStyle w:val="000000100000"/>
              <w:rPr>
                <w:rFonts w:cs="Arial"/>
                <w:sz w:val="18"/>
                <w:szCs w:val="18"/>
              </w:rPr>
            </w:pPr>
            <w:r w:rsidRPr="00225CB6">
              <w:rPr>
                <w:rFonts w:cs="Arial"/>
                <w:sz w:val="18"/>
                <w:szCs w:val="18"/>
              </w:rPr>
              <w:t>67%</w:t>
            </w:r>
          </w:p>
        </w:tc>
      </w:tr>
      <w:tr w:rsidR="00C33AD1" w:rsidRPr="008D4449" w:rsidTr="00B2349D">
        <w:trPr>
          <w:cnfStyle w:val="000000010000"/>
          <w:trHeight w:val="184"/>
        </w:trPr>
        <w:tc>
          <w:tcPr>
            <w:cnfStyle w:val="001000000000"/>
            <w:tcW w:w="2243" w:type="dxa"/>
            <w:vAlign w:val="center"/>
          </w:tcPr>
          <w:p w:rsidR="00C33AD1" w:rsidRPr="008D4449" w:rsidRDefault="00C33AD1" w:rsidP="00B2349D">
            <w:pPr>
              <w:rPr>
                <w:sz w:val="18"/>
                <w:szCs w:val="22"/>
                <w:lang w:val="en-GB"/>
              </w:rPr>
            </w:pPr>
            <w:r w:rsidRPr="008D4449">
              <w:rPr>
                <w:sz w:val="18"/>
                <w:szCs w:val="22"/>
                <w:lang w:val="en-GB"/>
              </w:rPr>
              <w:t>Total capacity</w:t>
            </w:r>
          </w:p>
        </w:tc>
        <w:tc>
          <w:tcPr>
            <w:tcW w:w="991" w:type="dxa"/>
            <w:vAlign w:val="bottom"/>
          </w:tcPr>
          <w:p w:rsidR="00C33AD1" w:rsidRPr="00225CB6" w:rsidRDefault="00C33AD1" w:rsidP="00B2349D">
            <w:pPr>
              <w:jc w:val="center"/>
              <w:cnfStyle w:val="000000010000"/>
              <w:rPr>
                <w:rFonts w:cs="Arial"/>
                <w:b/>
                <w:bCs/>
                <w:i/>
                <w:iCs/>
                <w:sz w:val="18"/>
                <w:szCs w:val="18"/>
              </w:rPr>
            </w:pPr>
            <w:r w:rsidRPr="00225CB6">
              <w:rPr>
                <w:rFonts w:cs="Arial"/>
                <w:b/>
                <w:bCs/>
                <w:i/>
                <w:iCs/>
                <w:sz w:val="18"/>
                <w:szCs w:val="18"/>
              </w:rPr>
              <w:t xml:space="preserve">193.4 </w:t>
            </w:r>
          </w:p>
        </w:tc>
        <w:tc>
          <w:tcPr>
            <w:tcW w:w="991" w:type="dxa"/>
            <w:vAlign w:val="bottom"/>
          </w:tcPr>
          <w:p w:rsidR="00C33AD1" w:rsidRPr="00225CB6" w:rsidRDefault="00C33AD1" w:rsidP="00B2349D">
            <w:pPr>
              <w:jc w:val="center"/>
              <w:cnfStyle w:val="000000010000"/>
              <w:rPr>
                <w:rFonts w:cs="Arial"/>
                <w:b/>
                <w:bCs/>
                <w:i/>
                <w:iCs/>
                <w:sz w:val="18"/>
                <w:szCs w:val="18"/>
              </w:rPr>
            </w:pPr>
            <w:r w:rsidRPr="00225CB6">
              <w:rPr>
                <w:rFonts w:cs="Arial"/>
                <w:b/>
                <w:bCs/>
                <w:i/>
                <w:iCs/>
                <w:sz w:val="18"/>
                <w:szCs w:val="18"/>
              </w:rPr>
              <w:t xml:space="preserve">280.9 </w:t>
            </w:r>
          </w:p>
        </w:tc>
        <w:tc>
          <w:tcPr>
            <w:tcW w:w="1532" w:type="dxa"/>
            <w:vAlign w:val="bottom"/>
          </w:tcPr>
          <w:p w:rsidR="00C33AD1" w:rsidRPr="00225CB6" w:rsidRDefault="00C33AD1" w:rsidP="00B2349D">
            <w:pPr>
              <w:jc w:val="center"/>
              <w:cnfStyle w:val="000000010000"/>
              <w:rPr>
                <w:rFonts w:cs="Arial"/>
                <w:b/>
                <w:bCs/>
                <w:i/>
                <w:iCs/>
                <w:sz w:val="18"/>
                <w:szCs w:val="18"/>
              </w:rPr>
            </w:pPr>
            <w:r w:rsidRPr="00225CB6">
              <w:rPr>
                <w:rFonts w:cs="Arial"/>
                <w:b/>
                <w:bCs/>
                <w:i/>
                <w:iCs/>
                <w:sz w:val="18"/>
                <w:szCs w:val="18"/>
              </w:rPr>
              <w:t xml:space="preserve">365.5 </w:t>
            </w:r>
          </w:p>
        </w:tc>
        <w:tc>
          <w:tcPr>
            <w:tcW w:w="2073" w:type="dxa"/>
            <w:vAlign w:val="bottom"/>
          </w:tcPr>
          <w:p w:rsidR="00C33AD1" w:rsidRPr="00225CB6" w:rsidRDefault="00C33AD1" w:rsidP="00B2349D">
            <w:pPr>
              <w:jc w:val="center"/>
              <w:cnfStyle w:val="000000010000"/>
              <w:rPr>
                <w:rFonts w:cs="Arial"/>
                <w:b/>
                <w:bCs/>
                <w:i/>
                <w:iCs/>
                <w:sz w:val="18"/>
                <w:szCs w:val="18"/>
              </w:rPr>
            </w:pPr>
            <w:r w:rsidRPr="00225CB6">
              <w:rPr>
                <w:rFonts w:cs="Arial"/>
                <w:b/>
                <w:bCs/>
                <w:i/>
                <w:iCs/>
                <w:sz w:val="18"/>
                <w:szCs w:val="18"/>
              </w:rPr>
              <w:t>45%</w:t>
            </w:r>
          </w:p>
        </w:tc>
        <w:tc>
          <w:tcPr>
            <w:tcW w:w="2265" w:type="dxa"/>
            <w:vAlign w:val="bottom"/>
          </w:tcPr>
          <w:p w:rsidR="00C33AD1" w:rsidRPr="00225CB6" w:rsidRDefault="00C33AD1" w:rsidP="00B2349D">
            <w:pPr>
              <w:jc w:val="center"/>
              <w:cnfStyle w:val="000000010000"/>
              <w:rPr>
                <w:rFonts w:cs="Arial"/>
                <w:b/>
                <w:bCs/>
                <w:i/>
                <w:iCs/>
                <w:sz w:val="18"/>
                <w:szCs w:val="18"/>
              </w:rPr>
            </w:pPr>
            <w:r w:rsidRPr="00225CB6">
              <w:rPr>
                <w:rFonts w:cs="Arial"/>
                <w:b/>
                <w:bCs/>
                <w:i/>
                <w:iCs/>
                <w:sz w:val="18"/>
                <w:szCs w:val="18"/>
              </w:rPr>
              <w:t>30%</w:t>
            </w:r>
          </w:p>
        </w:tc>
      </w:tr>
      <w:tr w:rsidR="00C33AD1" w:rsidRPr="008D4449" w:rsidTr="00B2349D">
        <w:trPr>
          <w:cnfStyle w:val="000000100000"/>
          <w:trHeight w:val="375"/>
        </w:trPr>
        <w:tc>
          <w:tcPr>
            <w:cnfStyle w:val="001000000000"/>
            <w:tcW w:w="10095" w:type="dxa"/>
            <w:gridSpan w:val="6"/>
            <w:shd w:val="clear" w:color="auto" w:fill="auto"/>
            <w:vAlign w:val="center"/>
          </w:tcPr>
          <w:p w:rsidR="00C33AD1" w:rsidRPr="00EC4DB6" w:rsidRDefault="00C33AD1" w:rsidP="00B2349D">
            <w:pPr>
              <w:rPr>
                <w:rFonts w:cs="Arial"/>
                <w:bCs w:val="0"/>
                <w:iCs/>
                <w:color w:val="auto"/>
                <w:sz w:val="18"/>
                <w:szCs w:val="18"/>
              </w:rPr>
            </w:pPr>
            <w:r w:rsidRPr="00EC4DB6">
              <w:rPr>
                <w:rFonts w:cs="Arial"/>
                <w:bCs w:val="0"/>
                <w:iCs/>
                <w:color w:val="auto"/>
                <w:sz w:val="18"/>
                <w:szCs w:val="18"/>
              </w:rPr>
              <w:t>Table 4.1: Liquefaction Capacity by Basin in 2007, 2012, and 2017, MTPA</w:t>
            </w:r>
          </w:p>
        </w:tc>
      </w:tr>
      <w:tr w:rsidR="00C33AD1" w:rsidRPr="008D4449" w:rsidTr="00B2349D">
        <w:trPr>
          <w:cnfStyle w:val="000000010000"/>
          <w:trHeight w:val="184"/>
        </w:trPr>
        <w:tc>
          <w:tcPr>
            <w:cnfStyle w:val="001000000000"/>
            <w:tcW w:w="10095" w:type="dxa"/>
            <w:gridSpan w:val="6"/>
            <w:shd w:val="clear" w:color="auto" w:fill="auto"/>
            <w:vAlign w:val="center"/>
          </w:tcPr>
          <w:p w:rsidR="00C33AD1" w:rsidRPr="00EC4DB6" w:rsidRDefault="00C33AD1" w:rsidP="00B2349D">
            <w:pPr>
              <w:rPr>
                <w:rFonts w:cs="Arial"/>
                <w:iCs/>
                <w:sz w:val="18"/>
                <w:szCs w:val="18"/>
              </w:rPr>
            </w:pPr>
            <w:r w:rsidRPr="00EC4DB6">
              <w:rPr>
                <w:rFonts w:cs="Arial"/>
                <w:b w:val="0"/>
                <w:bCs w:val="0"/>
                <w:i/>
                <w:iCs/>
                <w:color w:val="auto"/>
                <w:sz w:val="16"/>
                <w:szCs w:val="16"/>
              </w:rPr>
              <w:t>Source: PFC Energy Global LNG Service, Company Announcements</w:t>
            </w:r>
          </w:p>
        </w:tc>
      </w:tr>
    </w:tbl>
    <w:p w:rsidR="00766BE0" w:rsidRDefault="00766BE0" w:rsidP="00766BE0">
      <w:pPr>
        <w:spacing w:line="252" w:lineRule="auto"/>
        <w:ind w:left="180"/>
        <w:jc w:val="both"/>
        <w:rPr>
          <w:sz w:val="18"/>
          <w:lang w:val="en-GB"/>
        </w:rPr>
      </w:pPr>
      <w:r w:rsidRPr="00B44609">
        <w:rPr>
          <w:sz w:val="18"/>
          <w:lang w:val="en-GB"/>
        </w:rPr>
        <w:t xml:space="preserve">Seven primary liquefaction technologies were employed at the end of 2012, with a few other technologies used sporadically throughout the globe.  Air Products dominates the market – its four LNG processes make up 82% of liquefaction technologies in existing projects. However, ConocoPhillips’ Optimized Cascade® technology is growing in usage and makes up </w:t>
      </w:r>
      <w:r>
        <w:rPr>
          <w:sz w:val="18"/>
          <w:lang w:val="en-GB"/>
        </w:rPr>
        <w:t xml:space="preserve">just under </w:t>
      </w:r>
      <w:r w:rsidRPr="00B44609">
        <w:rPr>
          <w:sz w:val="18"/>
          <w:lang w:val="en-GB"/>
        </w:rPr>
        <w:t>half of projects that have reached FID</w:t>
      </w:r>
      <w:r>
        <w:rPr>
          <w:sz w:val="18"/>
          <w:lang w:val="en-GB"/>
        </w:rPr>
        <w:t xml:space="preserve"> </w:t>
      </w:r>
      <w:r w:rsidRPr="00B44609">
        <w:rPr>
          <w:sz w:val="18"/>
          <w:lang w:val="en-GB"/>
        </w:rPr>
        <w:t xml:space="preserve">– all of which are located in the </w:t>
      </w:r>
      <w:r w:rsidRPr="00B44609">
        <w:rPr>
          <w:sz w:val="18"/>
          <w:lang w:val="en-GB"/>
        </w:rPr>
        <w:lastRenderedPageBreak/>
        <w:t>United States or Australia.</w:t>
      </w:r>
    </w:p>
    <w:tbl>
      <w:tblPr>
        <w:tblpPr w:leftFromText="180" w:rightFromText="180" w:vertAnchor="text" w:horzAnchor="margin" w:tblpXSpec="right" w:tblpY="90"/>
        <w:tblW w:w="4975" w:type="dxa"/>
        <w:tblLayout w:type="fixed"/>
        <w:tblLook w:val="01E0"/>
      </w:tblPr>
      <w:tblGrid>
        <w:gridCol w:w="4975"/>
      </w:tblGrid>
      <w:tr w:rsidR="00766BE0" w:rsidRPr="00A918C1" w:rsidTr="00E757B1">
        <w:trPr>
          <w:trHeight w:val="2938"/>
        </w:trPr>
        <w:tc>
          <w:tcPr>
            <w:tcW w:w="4975" w:type="dxa"/>
          </w:tcPr>
          <w:p w:rsidR="00766BE0" w:rsidRDefault="00766BE0" w:rsidP="00E757B1">
            <w:pPr>
              <w:pStyle w:val="PFCBulletedText2"/>
              <w:spacing w:before="120" w:after="0"/>
              <w:ind w:left="0" w:firstLine="0"/>
              <w:jc w:val="left"/>
              <w:rPr>
                <w:noProof/>
                <w:lang w:eastAsia="en-US"/>
              </w:rPr>
            </w:pPr>
            <w:r>
              <w:rPr>
                <w:noProof/>
                <w:lang w:val="fr-FR" w:eastAsia="zh-CN"/>
              </w:rPr>
              <w:drawing>
                <wp:inline distT="0" distB="0" distL="0" distR="0">
                  <wp:extent cx="3021330" cy="2216785"/>
                  <wp:effectExtent l="19050" t="0" r="7620" b="0"/>
                  <wp:docPr id="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3021330" cy="2216785"/>
                          </a:xfrm>
                          <a:prstGeom prst="rect">
                            <a:avLst/>
                          </a:prstGeom>
                          <a:noFill/>
                          <a:ln w="9525">
                            <a:noFill/>
                            <a:miter lim="800000"/>
                            <a:headEnd/>
                            <a:tailEnd/>
                          </a:ln>
                        </pic:spPr>
                      </pic:pic>
                    </a:graphicData>
                  </a:graphic>
                </wp:inline>
              </w:drawing>
            </w:r>
          </w:p>
          <w:p w:rsidR="00766BE0" w:rsidRDefault="00766BE0" w:rsidP="00E757B1">
            <w:pPr>
              <w:pStyle w:val="PFCBulletedText2"/>
              <w:ind w:left="0" w:firstLine="0"/>
              <w:jc w:val="left"/>
              <w:rPr>
                <w:b/>
                <w:sz w:val="18"/>
                <w:szCs w:val="18"/>
              </w:rPr>
            </w:pPr>
            <w:r>
              <w:rPr>
                <w:b/>
                <w:sz w:val="18"/>
                <w:szCs w:val="18"/>
              </w:rPr>
              <w:t xml:space="preserve">Figure </w:t>
            </w:r>
            <w:r w:rsidR="00F05256">
              <w:rPr>
                <w:b/>
                <w:sz w:val="18"/>
                <w:szCs w:val="18"/>
              </w:rPr>
              <w:t>4.</w:t>
            </w:r>
            <w:r>
              <w:rPr>
                <w:b/>
                <w:sz w:val="18"/>
                <w:szCs w:val="18"/>
              </w:rPr>
              <w:t>7</w:t>
            </w:r>
            <w:r w:rsidRPr="005733C3">
              <w:rPr>
                <w:b/>
                <w:sz w:val="18"/>
                <w:szCs w:val="18"/>
              </w:rPr>
              <w:t xml:space="preserve">: </w:t>
            </w:r>
            <w:r>
              <w:rPr>
                <w:b/>
                <w:sz w:val="18"/>
                <w:szCs w:val="18"/>
              </w:rPr>
              <w:t>Liquefaction Capacity by Type of Technology, 2012-2017</w:t>
            </w:r>
          </w:p>
          <w:p w:rsidR="00766BE0" w:rsidRPr="002055A2" w:rsidRDefault="00766BE0"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766BE0" w:rsidRDefault="00766BE0" w:rsidP="00766BE0">
      <w:pPr>
        <w:spacing w:line="252" w:lineRule="auto"/>
        <w:ind w:left="180"/>
        <w:jc w:val="both"/>
        <w:rPr>
          <w:sz w:val="18"/>
          <w:lang w:val="en-GB"/>
        </w:rPr>
      </w:pPr>
    </w:p>
    <w:p w:rsidR="00766BE0" w:rsidRPr="00B44609" w:rsidRDefault="00766BE0" w:rsidP="00766BE0">
      <w:pPr>
        <w:spacing w:line="252" w:lineRule="auto"/>
        <w:ind w:left="180"/>
        <w:jc w:val="both"/>
        <w:rPr>
          <w:sz w:val="18"/>
          <w:lang w:val="en-GB"/>
        </w:rPr>
      </w:pPr>
      <w:r w:rsidRPr="00B44609">
        <w:rPr>
          <w:sz w:val="18"/>
          <w:lang w:val="en-GB"/>
        </w:rPr>
        <w:t>APC C3MR technology was the most heavily used</w:t>
      </w:r>
      <w:r>
        <w:rPr>
          <w:sz w:val="18"/>
          <w:lang w:val="en-GB"/>
        </w:rPr>
        <w:t xml:space="preserve"> in 2012</w:t>
      </w:r>
      <w:r w:rsidRPr="00B44609">
        <w:rPr>
          <w:sz w:val="18"/>
          <w:lang w:val="en-GB"/>
        </w:rPr>
        <w:t>, accounting for 65% of global nameplate liquefaction capacity.  AP-X was used in the Qatari megatrains – accountin</w:t>
      </w:r>
      <w:r>
        <w:rPr>
          <w:sz w:val="18"/>
          <w:lang w:val="en-GB"/>
        </w:rPr>
        <w:t>g for another 17% of capacity</w:t>
      </w:r>
      <w:r w:rsidRPr="00B44609">
        <w:rPr>
          <w:sz w:val="18"/>
          <w:lang w:val="en-GB"/>
        </w:rPr>
        <w:t xml:space="preserve">. </w:t>
      </w:r>
    </w:p>
    <w:p w:rsidR="00766BE0" w:rsidRPr="00B44609" w:rsidRDefault="00766BE0" w:rsidP="00766BE0">
      <w:pPr>
        <w:spacing w:line="252" w:lineRule="auto"/>
        <w:ind w:left="180"/>
        <w:jc w:val="both"/>
        <w:rPr>
          <w:sz w:val="18"/>
          <w:lang w:val="en-GB"/>
        </w:rPr>
      </w:pPr>
    </w:p>
    <w:p w:rsidR="00766BE0" w:rsidRDefault="00766BE0" w:rsidP="00766BE0">
      <w:pPr>
        <w:spacing w:line="252" w:lineRule="auto"/>
        <w:ind w:left="180"/>
        <w:jc w:val="both"/>
        <w:rPr>
          <w:sz w:val="18"/>
          <w:lang w:val="en-GB"/>
        </w:rPr>
      </w:pPr>
      <w:r w:rsidRPr="00B44609">
        <w:rPr>
          <w:sz w:val="18"/>
          <w:lang w:val="en-GB"/>
        </w:rPr>
        <w:t xml:space="preserve">Given the nature of the APC C3MR technology as a reliable and large-scale, but not massive liquefaction technology, new projects continue to announce plans to use </w:t>
      </w:r>
      <w:r w:rsidRPr="00A053BD">
        <w:rPr>
          <w:sz w:val="18"/>
          <w:lang w:val="en-GB"/>
        </w:rPr>
        <w:t>the technology; Gorgon LNG, Papua New Guinea LNG, Donggi-Senoro LNG, and Ichthys LNG have announced plans to use established APC technologies. The APC C3MR/Split MR process is projected to grow in use most strongly out of all</w:t>
      </w:r>
      <w:r>
        <w:rPr>
          <w:sz w:val="18"/>
          <w:lang w:val="en-GB"/>
        </w:rPr>
        <w:t xml:space="preserve"> APC technologies – by 2017, it will have increased to 21% of the market. </w:t>
      </w:r>
    </w:p>
    <w:p w:rsidR="00766BE0" w:rsidRDefault="00766BE0" w:rsidP="00C401C6">
      <w:pPr>
        <w:pStyle w:val="Titre2"/>
        <w:ind w:firstLine="180"/>
        <w:rPr>
          <w:lang w:val="en-GB"/>
        </w:rPr>
      </w:pPr>
      <w:bookmarkStart w:id="19" w:name="_Toc360628240"/>
      <w:r w:rsidRPr="00210D84">
        <w:rPr>
          <w:lang w:val="en-GB"/>
        </w:rPr>
        <w:t>4.6 NEW DEVELOPMENTS</w:t>
      </w:r>
      <w:bookmarkEnd w:id="19"/>
      <w:r>
        <w:rPr>
          <w:lang w:val="en-GB"/>
        </w:rPr>
        <w:t xml:space="preserve"> </w:t>
      </w:r>
    </w:p>
    <w:p w:rsidR="00766BE0" w:rsidRDefault="00766BE0" w:rsidP="00766BE0">
      <w:pPr>
        <w:spacing w:line="252" w:lineRule="auto"/>
        <w:ind w:left="180"/>
        <w:jc w:val="both"/>
        <w:rPr>
          <w:b/>
          <w:color w:val="215A99"/>
          <w:sz w:val="18"/>
          <w:lang w:val="en-GB"/>
        </w:rPr>
      </w:pPr>
    </w:p>
    <w:p w:rsidR="00FF514B" w:rsidRDefault="00FF514B" w:rsidP="00FF514B">
      <w:pPr>
        <w:spacing w:line="252" w:lineRule="auto"/>
        <w:ind w:left="180"/>
        <w:jc w:val="both"/>
        <w:rPr>
          <w:sz w:val="18"/>
          <w:lang w:val="en-GB"/>
        </w:rPr>
      </w:pPr>
      <w:r w:rsidRPr="005839F3">
        <w:rPr>
          <w:sz w:val="18"/>
          <w:lang w:val="en-GB"/>
        </w:rPr>
        <w:t xml:space="preserve">Floating </w:t>
      </w:r>
      <w:r w:rsidRPr="00133395">
        <w:rPr>
          <w:sz w:val="18"/>
          <w:lang w:val="en-GB"/>
        </w:rPr>
        <w:t>liquefaction has made much progress over the past two years; in total, 5.3 MTPA of floating liquefaction projects have reached FID. After the 3.6 MTPA Prelude LNG reached FID in 2011, two</w:t>
      </w:r>
      <w:r w:rsidRPr="005839F3">
        <w:rPr>
          <w:sz w:val="18"/>
          <w:lang w:val="en-GB"/>
        </w:rPr>
        <w:t xml:space="preserve"> other projects reached FID</w:t>
      </w:r>
      <w:r>
        <w:rPr>
          <w:sz w:val="18"/>
          <w:lang w:val="en-GB"/>
        </w:rPr>
        <w:t xml:space="preserve"> in 2012</w:t>
      </w:r>
      <w:r w:rsidRPr="005839F3">
        <w:rPr>
          <w:sz w:val="18"/>
          <w:lang w:val="en-GB"/>
        </w:rPr>
        <w:t xml:space="preserve">: </w:t>
      </w:r>
      <w:r>
        <w:rPr>
          <w:sz w:val="18"/>
          <w:lang w:val="en-GB"/>
        </w:rPr>
        <w:t xml:space="preserve">the </w:t>
      </w:r>
      <w:r w:rsidRPr="005839F3">
        <w:rPr>
          <w:sz w:val="18"/>
          <w:lang w:val="en-GB"/>
        </w:rPr>
        <w:t xml:space="preserve">1.2 </w:t>
      </w:r>
      <w:r>
        <w:rPr>
          <w:sz w:val="18"/>
          <w:lang w:val="en-GB"/>
        </w:rPr>
        <w:t>MTPA</w:t>
      </w:r>
      <w:r w:rsidRPr="005839F3">
        <w:rPr>
          <w:sz w:val="18"/>
          <w:lang w:val="en-GB"/>
        </w:rPr>
        <w:t xml:space="preserve"> PETRONAS FLNG </w:t>
      </w:r>
      <w:r>
        <w:rPr>
          <w:sz w:val="18"/>
          <w:lang w:val="en-GB"/>
        </w:rPr>
        <w:t xml:space="preserve">in Malaysia </w:t>
      </w:r>
      <w:r w:rsidRPr="00BD686E">
        <w:rPr>
          <w:sz w:val="18"/>
          <w:lang w:val="en-GB"/>
        </w:rPr>
        <w:t xml:space="preserve">and the 0.5 MTPA Puerto </w:t>
      </w:r>
      <w:r w:rsidRPr="009D10A6">
        <w:rPr>
          <w:sz w:val="18"/>
          <w:szCs w:val="18"/>
          <w:lang w:val="en-GB"/>
        </w:rPr>
        <w:t>Bahía</w:t>
      </w:r>
      <w:r w:rsidRPr="00BD686E">
        <w:rPr>
          <w:sz w:val="18"/>
          <w:lang w:val="en-GB"/>
        </w:rPr>
        <w:t xml:space="preserve"> LNG</w:t>
      </w:r>
      <w:r>
        <w:rPr>
          <w:sz w:val="18"/>
          <w:lang w:val="en-GB"/>
        </w:rPr>
        <w:t xml:space="preserve"> in Colombia</w:t>
      </w:r>
      <w:r w:rsidRPr="00BD686E">
        <w:rPr>
          <w:sz w:val="18"/>
          <w:lang w:val="en-GB"/>
        </w:rPr>
        <w:t>.</w:t>
      </w:r>
      <w:r>
        <w:rPr>
          <w:sz w:val="18"/>
          <w:lang w:val="en-GB"/>
        </w:rPr>
        <w:t xml:space="preserve"> </w:t>
      </w:r>
    </w:p>
    <w:p w:rsidR="00766BE0" w:rsidRPr="005839F3" w:rsidRDefault="00766BE0" w:rsidP="00766BE0">
      <w:pPr>
        <w:spacing w:line="252" w:lineRule="auto"/>
        <w:ind w:left="180"/>
        <w:jc w:val="both"/>
        <w:rPr>
          <w:color w:val="141313" w:themeColor="text1"/>
          <w:sz w:val="18"/>
          <w:lang w:val="en-GB"/>
        </w:rPr>
      </w:pPr>
    </w:p>
    <w:p w:rsidR="00766BE0" w:rsidRPr="001153B1" w:rsidRDefault="00766BE0" w:rsidP="00766BE0">
      <w:pPr>
        <w:spacing w:line="252" w:lineRule="auto"/>
        <w:ind w:left="180"/>
        <w:jc w:val="both"/>
        <w:rPr>
          <w:bCs/>
          <w:color w:val="141313" w:themeColor="text1"/>
          <w:sz w:val="18"/>
          <w:szCs w:val="22"/>
          <w:lang w:val="en-GB"/>
        </w:rPr>
      </w:pPr>
      <w:r>
        <w:rPr>
          <w:bCs/>
          <w:color w:val="141313" w:themeColor="text1"/>
          <w:sz w:val="18"/>
          <w:szCs w:val="22"/>
          <w:lang w:val="en-GB"/>
        </w:rPr>
        <w:t>Other shipping companies</w:t>
      </w:r>
      <w:r w:rsidRPr="005839F3">
        <w:rPr>
          <w:bCs/>
          <w:color w:val="141313" w:themeColor="text1"/>
          <w:sz w:val="18"/>
          <w:szCs w:val="22"/>
          <w:lang w:val="en-GB"/>
        </w:rPr>
        <w:t xml:space="preserve"> have unveiled plans to pursue a floating liquefaction design, but have yet to reach FID with a project. </w:t>
      </w:r>
      <w:r>
        <w:rPr>
          <w:bCs/>
          <w:color w:val="141313" w:themeColor="text1"/>
          <w:sz w:val="18"/>
          <w:szCs w:val="22"/>
          <w:lang w:val="en-GB"/>
        </w:rPr>
        <w:t>Six projects</w:t>
      </w:r>
      <w:r w:rsidRPr="005839F3">
        <w:rPr>
          <w:bCs/>
          <w:color w:val="141313" w:themeColor="text1"/>
          <w:sz w:val="18"/>
          <w:szCs w:val="22"/>
          <w:lang w:val="en-GB"/>
        </w:rPr>
        <w:t xml:space="preserve"> have moved forward into the engineering phase, </w:t>
      </w:r>
      <w:r>
        <w:rPr>
          <w:bCs/>
          <w:color w:val="141313" w:themeColor="text1"/>
          <w:sz w:val="18"/>
          <w:szCs w:val="22"/>
          <w:lang w:val="en-GB"/>
        </w:rPr>
        <w:t xml:space="preserve">with projects located in </w:t>
      </w:r>
      <w:r w:rsidRPr="005839F3">
        <w:rPr>
          <w:bCs/>
          <w:color w:val="141313" w:themeColor="text1"/>
          <w:sz w:val="18"/>
          <w:szCs w:val="22"/>
          <w:lang w:val="en-GB"/>
        </w:rPr>
        <w:t xml:space="preserve">Canada, the United States, Malaysia, Israel, </w:t>
      </w:r>
      <w:r>
        <w:rPr>
          <w:bCs/>
          <w:color w:val="141313" w:themeColor="text1"/>
          <w:sz w:val="18"/>
          <w:szCs w:val="22"/>
          <w:lang w:val="en-GB"/>
        </w:rPr>
        <w:t xml:space="preserve">Australia, </w:t>
      </w:r>
      <w:r w:rsidRPr="005839F3">
        <w:rPr>
          <w:bCs/>
          <w:color w:val="141313" w:themeColor="text1"/>
          <w:sz w:val="18"/>
          <w:szCs w:val="22"/>
          <w:lang w:val="en-GB"/>
        </w:rPr>
        <w:t xml:space="preserve">and Brazil.  </w:t>
      </w:r>
      <w:r w:rsidRPr="005839F3">
        <w:rPr>
          <w:bCs/>
          <w:color w:val="141313" w:themeColor="text1"/>
          <w:sz w:val="18"/>
          <w:szCs w:val="22"/>
          <w:lang w:val="en-GB"/>
        </w:rPr>
        <w:lastRenderedPageBreak/>
        <w:t xml:space="preserve">Floating liquefaction is also being discussed as the development concept for </w:t>
      </w:r>
      <w:r w:rsidRPr="001153B1">
        <w:rPr>
          <w:bCs/>
          <w:color w:val="141313" w:themeColor="text1"/>
          <w:sz w:val="18"/>
          <w:szCs w:val="22"/>
          <w:lang w:val="en-GB"/>
        </w:rPr>
        <w:t xml:space="preserve">more than a dozen other projects, including multiple projects in Australia, the United States Gulf of Mexico, and </w:t>
      </w:r>
      <w:r>
        <w:rPr>
          <w:bCs/>
          <w:color w:val="141313" w:themeColor="text1"/>
          <w:sz w:val="18"/>
          <w:szCs w:val="22"/>
          <w:lang w:val="en-GB"/>
        </w:rPr>
        <w:t>frontier Africa plays</w:t>
      </w:r>
      <w:r w:rsidRPr="001153B1">
        <w:rPr>
          <w:bCs/>
          <w:color w:val="141313" w:themeColor="text1"/>
          <w:sz w:val="18"/>
          <w:szCs w:val="22"/>
          <w:lang w:val="en-GB"/>
        </w:rPr>
        <w:t>.</w:t>
      </w:r>
    </w:p>
    <w:tbl>
      <w:tblPr>
        <w:tblpPr w:leftFromText="180" w:rightFromText="180" w:vertAnchor="text" w:horzAnchor="margin" w:tblpY="133"/>
        <w:tblW w:w="4975" w:type="dxa"/>
        <w:tblLayout w:type="fixed"/>
        <w:tblLook w:val="01E0"/>
      </w:tblPr>
      <w:tblGrid>
        <w:gridCol w:w="4975"/>
      </w:tblGrid>
      <w:tr w:rsidR="00766BE0" w:rsidRPr="00A918C1" w:rsidTr="00E757B1">
        <w:trPr>
          <w:trHeight w:val="2938"/>
        </w:trPr>
        <w:tc>
          <w:tcPr>
            <w:tcW w:w="4975" w:type="dxa"/>
          </w:tcPr>
          <w:p w:rsidR="00766BE0" w:rsidRDefault="00350FA9" w:rsidP="00E757B1">
            <w:pPr>
              <w:pStyle w:val="PFCBulletedText2"/>
              <w:spacing w:before="120" w:after="0"/>
              <w:ind w:left="0" w:firstLine="0"/>
              <w:jc w:val="left"/>
              <w:rPr>
                <w:noProof/>
                <w:lang w:eastAsia="en-US"/>
              </w:rPr>
            </w:pPr>
            <w:r w:rsidRPr="00350FA9">
              <w:rPr>
                <w:noProof/>
                <w:lang w:val="fr-FR" w:eastAsia="zh-CN"/>
              </w:rPr>
              <w:drawing>
                <wp:inline distT="0" distB="0" distL="0" distR="0">
                  <wp:extent cx="3019425" cy="2070100"/>
                  <wp:effectExtent l="19050" t="0" r="9525"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3019425" cy="2070100"/>
                          </a:xfrm>
                          <a:prstGeom prst="rect">
                            <a:avLst/>
                          </a:prstGeom>
                          <a:noFill/>
                          <a:ln w="9525">
                            <a:noFill/>
                            <a:miter lim="800000"/>
                            <a:headEnd/>
                            <a:tailEnd/>
                          </a:ln>
                        </pic:spPr>
                      </pic:pic>
                    </a:graphicData>
                  </a:graphic>
                </wp:inline>
              </w:drawing>
            </w:r>
          </w:p>
          <w:p w:rsidR="00766BE0" w:rsidRPr="0060385A" w:rsidRDefault="00766BE0" w:rsidP="00E757B1">
            <w:pPr>
              <w:pStyle w:val="PFCBulletedText2"/>
              <w:ind w:left="0" w:firstLine="0"/>
              <w:jc w:val="left"/>
              <w:rPr>
                <w:b/>
                <w:i/>
                <w:sz w:val="18"/>
                <w:szCs w:val="18"/>
              </w:rPr>
            </w:pPr>
            <w:r w:rsidRPr="0060385A">
              <w:rPr>
                <w:b/>
                <w:sz w:val="18"/>
                <w:szCs w:val="18"/>
              </w:rPr>
              <w:t>Figure</w:t>
            </w:r>
            <w:r w:rsidR="00F05256">
              <w:rPr>
                <w:b/>
                <w:sz w:val="18"/>
                <w:szCs w:val="18"/>
              </w:rPr>
              <w:t xml:space="preserve"> 4.</w:t>
            </w:r>
            <w:r w:rsidRPr="0060385A">
              <w:rPr>
                <w:b/>
                <w:sz w:val="18"/>
                <w:szCs w:val="18"/>
              </w:rPr>
              <w:t xml:space="preserve"> 8: </w:t>
            </w:r>
            <w:r w:rsidRPr="0060385A">
              <w:rPr>
                <w:rFonts w:eastAsia="SimSun"/>
                <w:b/>
                <w:smallCaps/>
                <w:lang w:val="en-GB"/>
              </w:rPr>
              <w:t xml:space="preserve"> </w:t>
            </w:r>
            <w:r w:rsidRPr="0060385A">
              <w:rPr>
                <w:b/>
                <w:sz w:val="18"/>
                <w:szCs w:val="18"/>
                <w:lang w:val="en-GB"/>
              </w:rPr>
              <w:t>Floating Liquefaction Capacity by Country: Under Construction Capacity</w:t>
            </w:r>
            <w:r>
              <w:rPr>
                <w:b/>
                <w:sz w:val="18"/>
                <w:szCs w:val="18"/>
                <w:lang w:val="en-GB"/>
              </w:rPr>
              <w:t xml:space="preserve"> in MTPA</w:t>
            </w:r>
            <w:r w:rsidRPr="0060385A">
              <w:rPr>
                <w:b/>
                <w:sz w:val="18"/>
                <w:szCs w:val="18"/>
                <w:lang w:val="en-GB"/>
              </w:rPr>
              <w:t xml:space="preserve"> and Share of Total, as of Q2 2013 </w:t>
            </w:r>
            <w:r w:rsidRPr="0060385A">
              <w:rPr>
                <w:b/>
                <w:i/>
                <w:sz w:val="18"/>
                <w:szCs w:val="18"/>
              </w:rPr>
              <w:t xml:space="preserve"> </w:t>
            </w:r>
          </w:p>
          <w:p w:rsidR="00766BE0" w:rsidRPr="002055A2" w:rsidRDefault="00766BE0"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p>
        </w:tc>
      </w:tr>
    </w:tbl>
    <w:p w:rsidR="00766BE0" w:rsidRDefault="00766BE0" w:rsidP="00766BE0">
      <w:pPr>
        <w:spacing w:line="252" w:lineRule="auto"/>
        <w:ind w:left="180"/>
        <w:jc w:val="both"/>
        <w:rPr>
          <w:sz w:val="18"/>
          <w:lang w:val="en-GB"/>
        </w:rPr>
      </w:pPr>
    </w:p>
    <w:tbl>
      <w:tblPr>
        <w:tblpPr w:leftFromText="180" w:rightFromText="180" w:vertAnchor="text" w:horzAnchor="margin" w:tblpXSpec="right" w:tblpY="777"/>
        <w:tblW w:w="4975" w:type="dxa"/>
        <w:tblLayout w:type="fixed"/>
        <w:tblLook w:val="01E0"/>
      </w:tblPr>
      <w:tblGrid>
        <w:gridCol w:w="4975"/>
      </w:tblGrid>
      <w:tr w:rsidR="00350FA9" w:rsidRPr="00A918C1" w:rsidTr="00350FA9">
        <w:trPr>
          <w:trHeight w:val="2938"/>
        </w:trPr>
        <w:tc>
          <w:tcPr>
            <w:tcW w:w="4975" w:type="dxa"/>
          </w:tcPr>
          <w:p w:rsidR="00350FA9" w:rsidRDefault="00350FA9" w:rsidP="00350FA9">
            <w:pPr>
              <w:pStyle w:val="PFCBulletedText2"/>
              <w:spacing w:before="120" w:after="0"/>
              <w:ind w:left="0" w:firstLine="0"/>
              <w:jc w:val="left"/>
              <w:rPr>
                <w:noProof/>
                <w:lang w:eastAsia="en-US"/>
              </w:rPr>
            </w:pPr>
            <w:r>
              <w:rPr>
                <w:noProof/>
                <w:lang w:val="fr-FR" w:eastAsia="zh-CN"/>
              </w:rPr>
              <w:drawing>
                <wp:inline distT="0" distB="0" distL="0" distR="0">
                  <wp:extent cx="3021330" cy="2122805"/>
                  <wp:effectExtent l="19050" t="0" r="762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3021330" cy="2122805"/>
                          </a:xfrm>
                          <a:prstGeom prst="rect">
                            <a:avLst/>
                          </a:prstGeom>
                          <a:noFill/>
                          <a:ln w="9525">
                            <a:noFill/>
                            <a:miter lim="800000"/>
                            <a:headEnd/>
                            <a:tailEnd/>
                          </a:ln>
                        </pic:spPr>
                      </pic:pic>
                    </a:graphicData>
                  </a:graphic>
                </wp:inline>
              </w:drawing>
            </w:r>
            <w:r w:rsidRPr="00DC1488">
              <w:rPr>
                <w:rStyle w:val="Marquedecommentaire"/>
                <w:noProof/>
                <w:sz w:val="20"/>
                <w:lang w:eastAsia="en-US"/>
              </w:rPr>
              <w:t xml:space="preserve"> </w:t>
            </w:r>
          </w:p>
          <w:p w:rsidR="00350FA9" w:rsidRDefault="00350FA9" w:rsidP="00350FA9">
            <w:pPr>
              <w:pStyle w:val="PFCBulletedText2"/>
              <w:ind w:left="0" w:firstLine="0"/>
              <w:jc w:val="left"/>
              <w:rPr>
                <w:b/>
                <w:sz w:val="18"/>
                <w:szCs w:val="18"/>
              </w:rPr>
            </w:pPr>
            <w:r>
              <w:rPr>
                <w:b/>
                <w:sz w:val="18"/>
                <w:szCs w:val="18"/>
              </w:rPr>
              <w:t>Figure 4.9</w:t>
            </w:r>
            <w:r w:rsidRPr="005733C3">
              <w:rPr>
                <w:b/>
                <w:sz w:val="18"/>
                <w:szCs w:val="18"/>
              </w:rPr>
              <w:t xml:space="preserve">: </w:t>
            </w:r>
            <w:r>
              <w:rPr>
                <w:b/>
                <w:sz w:val="18"/>
                <w:szCs w:val="18"/>
              </w:rPr>
              <w:t xml:space="preserve">Average Project CAPEX by Basin, 2000-2019 </w:t>
            </w:r>
          </w:p>
          <w:p w:rsidR="00350FA9" w:rsidRPr="002055A2" w:rsidRDefault="00350FA9" w:rsidP="00350FA9">
            <w:pPr>
              <w:pStyle w:val="PFCBulletedText2"/>
              <w:ind w:left="0" w:firstLine="0"/>
              <w:jc w:val="left"/>
              <w:rPr>
                <w:b/>
                <w:sz w:val="18"/>
                <w:szCs w:val="18"/>
              </w:rPr>
            </w:pPr>
            <w:r>
              <w:rPr>
                <w:i/>
                <w:sz w:val="16"/>
                <w:szCs w:val="16"/>
              </w:rPr>
              <w:t>S</w:t>
            </w:r>
            <w:r w:rsidRPr="005733C3">
              <w:rPr>
                <w:i/>
                <w:sz w:val="16"/>
                <w:szCs w:val="16"/>
              </w:rPr>
              <w:t>ources: PFC Energy Global LNG Service</w:t>
            </w:r>
          </w:p>
        </w:tc>
      </w:tr>
    </w:tbl>
    <w:p w:rsidR="00766BE0" w:rsidRDefault="00766BE0" w:rsidP="00766BE0">
      <w:pPr>
        <w:spacing w:line="252" w:lineRule="auto"/>
        <w:ind w:left="180"/>
        <w:jc w:val="both"/>
        <w:rPr>
          <w:sz w:val="18"/>
          <w:lang w:val="en-GB"/>
        </w:rPr>
      </w:pPr>
      <w:r w:rsidRPr="00F86F49">
        <w:rPr>
          <w:sz w:val="18"/>
          <w:lang w:val="en-GB"/>
        </w:rPr>
        <w:t>Perhaps the</w:t>
      </w:r>
      <w:r>
        <w:rPr>
          <w:sz w:val="18"/>
          <w:lang w:val="en-GB"/>
        </w:rPr>
        <w:t xml:space="preserve"> most</w:t>
      </w:r>
      <w:r w:rsidRPr="00F86F49">
        <w:rPr>
          <w:sz w:val="18"/>
          <w:lang w:val="en-GB"/>
        </w:rPr>
        <w:t xml:space="preserve"> significant change for the liquefaction industry is the emergence of new markets with a huge potential for liquefaction capacity. The US Lower 48, </w:t>
      </w:r>
      <w:r>
        <w:rPr>
          <w:sz w:val="18"/>
          <w:lang w:val="en-GB"/>
        </w:rPr>
        <w:t>has been</w:t>
      </w:r>
      <w:r w:rsidRPr="00F86F49">
        <w:rPr>
          <w:sz w:val="18"/>
          <w:lang w:val="en-GB"/>
        </w:rPr>
        <w:t xml:space="preserve"> an LNG importer, </w:t>
      </w:r>
      <w:r>
        <w:rPr>
          <w:sz w:val="18"/>
          <w:lang w:val="en-GB"/>
        </w:rPr>
        <w:t xml:space="preserve">but </w:t>
      </w:r>
      <w:r w:rsidRPr="00F86F49">
        <w:rPr>
          <w:sz w:val="18"/>
          <w:lang w:val="en-GB"/>
        </w:rPr>
        <w:t xml:space="preserve">has </w:t>
      </w:r>
      <w:r>
        <w:rPr>
          <w:sz w:val="18"/>
          <w:lang w:val="en-GB"/>
        </w:rPr>
        <w:t xml:space="preserve">now </w:t>
      </w:r>
      <w:r w:rsidRPr="00F86F49">
        <w:rPr>
          <w:sz w:val="18"/>
          <w:lang w:val="en-GB"/>
        </w:rPr>
        <w:t xml:space="preserve">become a major hotspot for liquefaction proposals as domestic production has grown due to a fairly recently realized unconventional resource abundance and resultantly low natural gas prices. Further, extensive existing infrastructure makes project economics largely positive. As a result of the US shale gas boom, companies have also become interested in Western Canada, which holds a large potential for shale production. However, due to the less developed nature of unconventional plays in Canada and formative commercial and project structures, developments there are on a slower timescale. </w:t>
      </w:r>
      <w:r>
        <w:rPr>
          <w:sz w:val="18"/>
          <w:lang w:val="en-GB"/>
        </w:rPr>
        <w:t xml:space="preserve">For a more detailed look at the potential for North American LNG, see the </w:t>
      </w:r>
      <w:r w:rsidRPr="00D03D53">
        <w:rPr>
          <w:sz w:val="18"/>
          <w:lang w:val="en-GB"/>
        </w:rPr>
        <w:t>North America Special Report in Section 6.</w:t>
      </w:r>
    </w:p>
    <w:p w:rsidR="00766BE0" w:rsidRDefault="00766BE0" w:rsidP="00766BE0">
      <w:pPr>
        <w:spacing w:line="252" w:lineRule="auto"/>
        <w:ind w:left="180"/>
        <w:jc w:val="both"/>
        <w:rPr>
          <w:sz w:val="18"/>
          <w:lang w:val="en-GB"/>
        </w:rPr>
      </w:pPr>
    </w:p>
    <w:p w:rsidR="00FF514B" w:rsidRPr="00090842" w:rsidRDefault="00766BE0" w:rsidP="00FF514B">
      <w:pPr>
        <w:spacing w:line="252" w:lineRule="auto"/>
        <w:ind w:left="180"/>
        <w:jc w:val="both"/>
        <w:rPr>
          <w:bCs/>
          <w:color w:val="141313" w:themeColor="text1"/>
          <w:sz w:val="18"/>
          <w:szCs w:val="22"/>
          <w:lang w:val="en-GB"/>
        </w:rPr>
      </w:pPr>
      <w:r w:rsidRPr="00F86F49">
        <w:rPr>
          <w:bCs/>
          <w:color w:val="141313" w:themeColor="text1"/>
          <w:sz w:val="18"/>
          <w:szCs w:val="22"/>
          <w:lang w:val="en-GB"/>
        </w:rPr>
        <w:t xml:space="preserve">Another new market is East Africa, where huge gas discoveries in </w:t>
      </w:r>
      <w:r w:rsidRPr="00133395">
        <w:rPr>
          <w:bCs/>
          <w:sz w:val="18"/>
          <w:szCs w:val="22"/>
          <w:lang w:val="en-GB"/>
        </w:rPr>
        <w:t xml:space="preserve">2010-2013 </w:t>
      </w:r>
      <w:r w:rsidR="00FF514B" w:rsidRPr="00133395">
        <w:rPr>
          <w:bCs/>
          <w:sz w:val="18"/>
          <w:szCs w:val="22"/>
          <w:lang w:val="en-GB"/>
        </w:rPr>
        <w:t xml:space="preserve">have led to the proposal of upwards of 30 MTPA of capacity in Mozambique and Tanzania, though underground </w:t>
      </w:r>
      <w:r w:rsidRPr="00133395">
        <w:rPr>
          <w:bCs/>
          <w:sz w:val="18"/>
          <w:szCs w:val="22"/>
          <w:lang w:val="en-GB"/>
        </w:rPr>
        <w:t>resources could support upwards of 75+ MTPA. Projects in the</w:t>
      </w:r>
      <w:r w:rsidRPr="00F86F49">
        <w:rPr>
          <w:bCs/>
          <w:color w:val="141313" w:themeColor="text1"/>
          <w:sz w:val="18"/>
          <w:szCs w:val="22"/>
          <w:lang w:val="en-GB"/>
        </w:rPr>
        <w:t xml:space="preserve"> region have the advantage of low domestic demand and geographic proximity to Asian markets. Unlike North American projects, proposals in East </w:t>
      </w:r>
      <w:r w:rsidRPr="00133395">
        <w:rPr>
          <w:bCs/>
          <w:sz w:val="18"/>
          <w:szCs w:val="22"/>
          <w:lang w:val="en-GB"/>
        </w:rPr>
        <w:t xml:space="preserve">Africa are based on conventional gas similar to the feedstock for many existing LNG projects. </w:t>
      </w:r>
      <w:r w:rsidR="00FF514B" w:rsidRPr="00133395">
        <w:rPr>
          <w:bCs/>
          <w:sz w:val="18"/>
          <w:szCs w:val="22"/>
          <w:lang w:val="en-GB"/>
        </w:rPr>
        <w:t>However, issues specific to a frontier region make such a large build-out very difficult to achieve, such as the lack of institutional capacity and operational</w:t>
      </w:r>
      <w:r w:rsidR="00FF514B" w:rsidRPr="00090842">
        <w:rPr>
          <w:bCs/>
          <w:color w:val="141313" w:themeColor="text1"/>
          <w:sz w:val="18"/>
          <w:szCs w:val="22"/>
          <w:lang w:val="en-GB"/>
        </w:rPr>
        <w:t xml:space="preserve"> expertise, as well as the potential for delays resulting from governmental intervention. </w:t>
      </w:r>
    </w:p>
    <w:p w:rsidR="00766BE0" w:rsidRPr="00F86F49" w:rsidRDefault="00766BE0" w:rsidP="00766BE0">
      <w:pPr>
        <w:spacing w:line="252" w:lineRule="auto"/>
        <w:ind w:left="180"/>
        <w:jc w:val="both"/>
        <w:rPr>
          <w:bCs/>
          <w:color w:val="141313" w:themeColor="text1"/>
          <w:sz w:val="18"/>
          <w:szCs w:val="22"/>
          <w:lang w:val="en-GB"/>
        </w:rPr>
      </w:pPr>
    </w:p>
    <w:p w:rsidR="00766BE0" w:rsidRPr="0060385A" w:rsidRDefault="00766BE0" w:rsidP="00766BE0">
      <w:pPr>
        <w:spacing w:line="252" w:lineRule="auto"/>
        <w:ind w:left="180"/>
        <w:jc w:val="both"/>
        <w:rPr>
          <w:bCs/>
          <w:sz w:val="18"/>
          <w:szCs w:val="22"/>
          <w:lang w:val="en-GB"/>
        </w:rPr>
      </w:pPr>
      <w:r w:rsidRPr="00F86F49">
        <w:rPr>
          <w:bCs/>
          <w:color w:val="141313" w:themeColor="text1"/>
          <w:sz w:val="18"/>
          <w:szCs w:val="22"/>
          <w:lang w:val="en-GB"/>
        </w:rPr>
        <w:lastRenderedPageBreak/>
        <w:t xml:space="preserve">In the past year, a number of new floating liquefaction projects were proposed as excitement surrounding the new technology grew. Floating liquefaction technology has the advantage of allowing the commercialization of stranded gas almost anywhere in the world, and could open up new tranches of LNG supply for </w:t>
      </w:r>
      <w:r w:rsidRPr="0060385A">
        <w:rPr>
          <w:bCs/>
          <w:sz w:val="18"/>
          <w:szCs w:val="22"/>
          <w:lang w:val="en-GB"/>
        </w:rPr>
        <w:t xml:space="preserve">commercialization. However, </w:t>
      </w:r>
      <w:r>
        <w:rPr>
          <w:bCs/>
          <w:sz w:val="18"/>
          <w:szCs w:val="22"/>
          <w:lang w:val="en-GB"/>
        </w:rPr>
        <w:t xml:space="preserve">like any unproven technology, </w:t>
      </w:r>
      <w:r w:rsidRPr="0060385A">
        <w:rPr>
          <w:bCs/>
          <w:sz w:val="18"/>
          <w:szCs w:val="22"/>
          <w:lang w:val="en-GB"/>
        </w:rPr>
        <w:t>considerable operational risk exists. Further, projects run the risk of major cost escalation as new and unforeseen issues associated with new practices arise.</w:t>
      </w:r>
    </w:p>
    <w:p w:rsidR="00766BE0" w:rsidRPr="0060385A" w:rsidRDefault="00766BE0" w:rsidP="00766BE0">
      <w:pPr>
        <w:spacing w:line="252" w:lineRule="auto"/>
        <w:ind w:left="180"/>
        <w:jc w:val="both"/>
        <w:rPr>
          <w:bCs/>
          <w:sz w:val="18"/>
          <w:szCs w:val="22"/>
          <w:lang w:val="en-GB"/>
        </w:rPr>
      </w:pPr>
    </w:p>
    <w:p w:rsidR="00766BE0" w:rsidRPr="0060385A" w:rsidRDefault="00766BE0" w:rsidP="00766BE0">
      <w:pPr>
        <w:spacing w:line="252" w:lineRule="auto"/>
        <w:ind w:left="180"/>
        <w:jc w:val="both"/>
        <w:rPr>
          <w:bCs/>
          <w:sz w:val="18"/>
          <w:szCs w:val="22"/>
          <w:lang w:val="en-GB"/>
        </w:rPr>
      </w:pPr>
      <w:r w:rsidRPr="0060385A">
        <w:rPr>
          <w:bCs/>
          <w:sz w:val="18"/>
          <w:szCs w:val="22"/>
          <w:lang w:val="en-GB"/>
        </w:rPr>
        <w:t xml:space="preserve">Arctic developments are another potential source of new supply, but face significant challenges. Projects are typically more expensive to develop due to the need for greater infrastructure in remote locations, while projects in Alaska or Russia face political and commercial issues. </w:t>
      </w:r>
    </w:p>
    <w:p w:rsidR="00766BE0" w:rsidRDefault="00766BE0" w:rsidP="00C401C6">
      <w:pPr>
        <w:pStyle w:val="Titre2"/>
        <w:ind w:firstLine="180"/>
        <w:rPr>
          <w:lang w:val="en-GB"/>
        </w:rPr>
      </w:pPr>
      <w:bookmarkStart w:id="20" w:name="_Toc360628241"/>
      <w:r>
        <w:rPr>
          <w:lang w:val="en-GB"/>
        </w:rPr>
        <w:t>4.7 PROJECT CAPEX</w:t>
      </w:r>
      <w:bookmarkEnd w:id="20"/>
    </w:p>
    <w:p w:rsidR="00766BE0" w:rsidRDefault="00766BE0" w:rsidP="00766BE0">
      <w:pPr>
        <w:spacing w:line="252" w:lineRule="auto"/>
        <w:ind w:left="180"/>
        <w:jc w:val="both"/>
        <w:rPr>
          <w:b/>
          <w:color w:val="215A99"/>
          <w:sz w:val="18"/>
          <w:lang w:val="en-GB"/>
        </w:rPr>
      </w:pPr>
    </w:p>
    <w:p w:rsidR="00766BE0" w:rsidRDefault="00766BE0" w:rsidP="00766BE0">
      <w:pPr>
        <w:spacing w:line="252" w:lineRule="auto"/>
        <w:ind w:left="180"/>
        <w:jc w:val="both"/>
        <w:rPr>
          <w:color w:val="141313" w:themeColor="text1"/>
          <w:sz w:val="18"/>
          <w:lang w:val="en-GB"/>
        </w:rPr>
      </w:pPr>
      <w:r w:rsidRPr="00F86F49">
        <w:rPr>
          <w:color w:val="141313" w:themeColor="text1"/>
          <w:sz w:val="18"/>
          <w:lang w:val="en-GB"/>
        </w:rPr>
        <w:t>Total spending on liquefaction projects has increased dramatically over the past 10 years as a result of two major factors: new project momentum and the rising cost of materials</w:t>
      </w:r>
      <w:r w:rsidRPr="00D03D53">
        <w:rPr>
          <w:color w:val="141313" w:themeColor="text1"/>
          <w:sz w:val="18"/>
          <w:lang w:val="en-GB"/>
        </w:rPr>
        <w:t xml:space="preserve">.  </w:t>
      </w:r>
      <w:r w:rsidR="00FF514B" w:rsidRPr="00D03D53">
        <w:rPr>
          <w:color w:val="141313" w:themeColor="text1"/>
          <w:sz w:val="18"/>
          <w:lang w:val="en-GB"/>
        </w:rPr>
        <w:t xml:space="preserve">Several LNG projects announced cost </w:t>
      </w:r>
      <w:r w:rsidR="00FF514B" w:rsidRPr="00133395">
        <w:rPr>
          <w:sz w:val="18"/>
          <w:lang w:val="en-GB"/>
        </w:rPr>
        <w:t>escalations in 2012 that will see forecasted CAPEX continue to rise over the next 10 years. Average global CAPEX for liquefaction plants (excluding upstream and financial costs) increased from an average of $399/ton for projects completed between 2001 and 2005 to $561/ton for projects completed between 2006 and 2010</w:t>
      </w:r>
      <w:r w:rsidR="00FF514B" w:rsidRPr="007F343A">
        <w:rPr>
          <w:color w:val="141313" w:themeColor="text1"/>
          <w:sz w:val="18"/>
          <w:lang w:val="en-GB"/>
        </w:rPr>
        <w:t>.</w:t>
      </w:r>
    </w:p>
    <w:p w:rsidR="00766BE0" w:rsidRDefault="00766BE0" w:rsidP="00766BE0">
      <w:pPr>
        <w:spacing w:line="252" w:lineRule="auto"/>
        <w:ind w:left="180"/>
        <w:jc w:val="both"/>
        <w:rPr>
          <w:color w:val="141313" w:themeColor="text1"/>
          <w:sz w:val="18"/>
          <w:lang w:val="en-GB"/>
        </w:rPr>
      </w:pPr>
    </w:p>
    <w:p w:rsidR="00766BE0" w:rsidRDefault="00766BE0" w:rsidP="00766BE0">
      <w:pPr>
        <w:spacing w:line="252" w:lineRule="auto"/>
        <w:ind w:left="180"/>
        <w:jc w:val="both"/>
        <w:rPr>
          <w:color w:val="141313" w:themeColor="text1"/>
          <w:sz w:val="18"/>
          <w:lang w:val="en-GB"/>
        </w:rPr>
      </w:pPr>
      <w:r w:rsidRPr="006A4CAC">
        <w:rPr>
          <w:color w:val="141313" w:themeColor="text1"/>
          <w:sz w:val="18"/>
          <w:lang w:val="en-GB"/>
        </w:rPr>
        <w:t xml:space="preserve">Over the past ten years, projects in the Middle East had the lowest project CAPEX on a $/ton basis due to low costs at a number of brownfield expansions, mainly in Qatar and Oman. Over the next ten years, the Atlantic Basin is expected to have the lowest project costs as a result of brownfield economics in the United States due to synergies from building on existing regasification sites.  </w:t>
      </w:r>
    </w:p>
    <w:p w:rsidR="00766BE0" w:rsidRDefault="00766BE0" w:rsidP="00766BE0">
      <w:pPr>
        <w:spacing w:line="252" w:lineRule="auto"/>
        <w:jc w:val="both"/>
        <w:rPr>
          <w:color w:val="141313" w:themeColor="text1"/>
          <w:sz w:val="18"/>
          <w:lang w:val="en-GB"/>
        </w:rPr>
      </w:pPr>
    </w:p>
    <w:tbl>
      <w:tblPr>
        <w:tblpPr w:leftFromText="180" w:rightFromText="180" w:vertAnchor="text" w:horzAnchor="margin" w:tblpY="-69"/>
        <w:tblW w:w="4975" w:type="dxa"/>
        <w:tblLayout w:type="fixed"/>
        <w:tblLook w:val="01E0"/>
      </w:tblPr>
      <w:tblGrid>
        <w:gridCol w:w="4975"/>
      </w:tblGrid>
      <w:tr w:rsidR="00766BE0" w:rsidRPr="00A918C1" w:rsidTr="00E757B1">
        <w:trPr>
          <w:trHeight w:val="2938"/>
        </w:trPr>
        <w:tc>
          <w:tcPr>
            <w:tcW w:w="4975" w:type="dxa"/>
          </w:tcPr>
          <w:p w:rsidR="00766BE0" w:rsidRDefault="00766BE0" w:rsidP="00E757B1">
            <w:pPr>
              <w:pStyle w:val="PFCBulletedText2"/>
              <w:spacing w:before="120" w:after="0"/>
              <w:ind w:left="0" w:firstLine="0"/>
              <w:jc w:val="left"/>
              <w:rPr>
                <w:noProof/>
                <w:lang w:eastAsia="en-US"/>
              </w:rPr>
            </w:pPr>
            <w:r>
              <w:rPr>
                <w:noProof/>
                <w:lang w:val="fr-FR" w:eastAsia="zh-CN"/>
              </w:rPr>
              <w:lastRenderedPageBreak/>
              <w:drawing>
                <wp:inline distT="0" distB="0" distL="0" distR="0">
                  <wp:extent cx="3021330" cy="2106930"/>
                  <wp:effectExtent l="19050" t="0" r="762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3021330" cy="2106930"/>
                          </a:xfrm>
                          <a:prstGeom prst="rect">
                            <a:avLst/>
                          </a:prstGeom>
                          <a:noFill/>
                          <a:ln w="9525">
                            <a:noFill/>
                            <a:miter lim="800000"/>
                            <a:headEnd/>
                            <a:tailEnd/>
                          </a:ln>
                        </pic:spPr>
                      </pic:pic>
                    </a:graphicData>
                  </a:graphic>
                </wp:inline>
              </w:drawing>
            </w:r>
            <w:r w:rsidRPr="00DC1488">
              <w:rPr>
                <w:rStyle w:val="Marquedecommentaire"/>
                <w:noProof/>
                <w:sz w:val="20"/>
                <w:lang w:eastAsia="en-US"/>
              </w:rPr>
              <w:t xml:space="preserve"> </w:t>
            </w:r>
          </w:p>
          <w:p w:rsidR="00766BE0" w:rsidRDefault="00766BE0" w:rsidP="00E757B1">
            <w:pPr>
              <w:pStyle w:val="PFCBulletedText2"/>
              <w:ind w:left="0" w:firstLine="0"/>
              <w:jc w:val="left"/>
              <w:rPr>
                <w:b/>
                <w:sz w:val="18"/>
                <w:szCs w:val="18"/>
              </w:rPr>
            </w:pPr>
            <w:r>
              <w:rPr>
                <w:b/>
                <w:sz w:val="18"/>
                <w:szCs w:val="18"/>
              </w:rPr>
              <w:t xml:space="preserve">Figure </w:t>
            </w:r>
            <w:r w:rsidR="00F05256">
              <w:rPr>
                <w:b/>
                <w:sz w:val="18"/>
                <w:szCs w:val="18"/>
              </w:rPr>
              <w:t>4.</w:t>
            </w:r>
            <w:r>
              <w:rPr>
                <w:b/>
                <w:sz w:val="18"/>
                <w:szCs w:val="18"/>
              </w:rPr>
              <w:t>10</w:t>
            </w:r>
            <w:r w:rsidRPr="005733C3">
              <w:rPr>
                <w:b/>
                <w:sz w:val="18"/>
                <w:szCs w:val="18"/>
              </w:rPr>
              <w:t xml:space="preserve">: </w:t>
            </w:r>
            <w:r>
              <w:rPr>
                <w:b/>
                <w:sz w:val="18"/>
                <w:szCs w:val="18"/>
              </w:rPr>
              <w:t>Average Liquefaction Unit Costs in $/ton (real), 1995-2019</w:t>
            </w:r>
          </w:p>
          <w:p w:rsidR="00766BE0" w:rsidRPr="002055A2" w:rsidRDefault="00766BE0" w:rsidP="00E757B1">
            <w:pPr>
              <w:pStyle w:val="PFCBulletedText2"/>
              <w:ind w:left="0" w:firstLine="0"/>
              <w:jc w:val="left"/>
              <w:rPr>
                <w:b/>
                <w:sz w:val="18"/>
                <w:szCs w:val="18"/>
              </w:rPr>
            </w:pPr>
            <w:r w:rsidRPr="005079FA">
              <w:rPr>
                <w:i/>
                <w:sz w:val="16"/>
                <w:szCs w:val="16"/>
              </w:rPr>
              <w:t xml:space="preserve">Note: Only </w:t>
            </w:r>
            <w:r>
              <w:rPr>
                <w:i/>
                <w:sz w:val="16"/>
                <w:szCs w:val="16"/>
              </w:rPr>
              <w:t>includes</w:t>
            </w:r>
            <w:r w:rsidRPr="005079FA">
              <w:rPr>
                <w:i/>
                <w:sz w:val="16"/>
                <w:szCs w:val="16"/>
              </w:rPr>
              <w:t xml:space="preserve"> for existing and under construction projects</w:t>
            </w:r>
            <w:r>
              <w:rPr>
                <w:i/>
                <w:sz w:val="16"/>
                <w:szCs w:val="16"/>
              </w:rPr>
              <w:t>.</w:t>
            </w:r>
            <w:r w:rsidRPr="005079FA">
              <w:rPr>
                <w:i/>
                <w:sz w:val="16"/>
                <w:szCs w:val="16"/>
              </w:rPr>
              <w:t xml:space="preserve"> </w:t>
            </w:r>
            <w:r>
              <w:rPr>
                <w:i/>
                <w:sz w:val="16"/>
                <w:szCs w:val="16"/>
              </w:rPr>
              <w:t>S</w:t>
            </w:r>
            <w:r w:rsidRPr="005733C3">
              <w:rPr>
                <w:i/>
                <w:sz w:val="16"/>
                <w:szCs w:val="16"/>
              </w:rPr>
              <w:t>ource: PFC Energy Global LNG Service</w:t>
            </w:r>
          </w:p>
        </w:tc>
      </w:tr>
    </w:tbl>
    <w:p w:rsidR="00B2349D" w:rsidRDefault="00B2349D" w:rsidP="00766BE0">
      <w:pPr>
        <w:spacing w:line="252" w:lineRule="auto"/>
        <w:ind w:left="180"/>
        <w:jc w:val="both"/>
        <w:rPr>
          <w:color w:val="141313" w:themeColor="text1"/>
          <w:sz w:val="18"/>
          <w:lang w:val="en-GB"/>
        </w:rPr>
      </w:pPr>
    </w:p>
    <w:p w:rsidR="00766BE0" w:rsidRDefault="00766BE0" w:rsidP="00766BE0">
      <w:pPr>
        <w:spacing w:line="252" w:lineRule="auto"/>
        <w:ind w:left="180"/>
        <w:jc w:val="both"/>
        <w:rPr>
          <w:color w:val="141313" w:themeColor="text1"/>
          <w:sz w:val="18"/>
          <w:lang w:val="en-GB"/>
        </w:rPr>
      </w:pPr>
      <w:r w:rsidRPr="006A4CAC">
        <w:rPr>
          <w:color w:val="141313" w:themeColor="text1"/>
          <w:sz w:val="18"/>
          <w:lang w:val="en-GB"/>
        </w:rPr>
        <w:t xml:space="preserve">Conversely, several projects in Australia have recently announced cost escalations stem from the appreciation of the Australian dollar, rising </w:t>
      </w:r>
      <w:proofErr w:type="spellStart"/>
      <w:r w:rsidRPr="006A4CAC">
        <w:rPr>
          <w:color w:val="141313" w:themeColor="text1"/>
          <w:sz w:val="18"/>
          <w:lang w:val="en-GB"/>
        </w:rPr>
        <w:t>labor</w:t>
      </w:r>
      <w:proofErr w:type="spellEnd"/>
      <w:r w:rsidRPr="006A4CAC">
        <w:rPr>
          <w:color w:val="141313" w:themeColor="text1"/>
          <w:sz w:val="18"/>
          <w:lang w:val="en-GB"/>
        </w:rPr>
        <w:t xml:space="preserve"> costs, and weather-related project delays. </w:t>
      </w:r>
      <w:r>
        <w:rPr>
          <w:color w:val="141313" w:themeColor="text1"/>
          <w:sz w:val="18"/>
          <w:lang w:val="en-GB"/>
        </w:rPr>
        <w:t xml:space="preserve">As such, </w:t>
      </w:r>
      <w:r w:rsidRPr="006A4CAC">
        <w:rPr>
          <w:color w:val="141313" w:themeColor="text1"/>
          <w:sz w:val="18"/>
          <w:lang w:val="en-GB"/>
        </w:rPr>
        <w:t xml:space="preserve">the Pacific Basin is expected to have the highest average </w:t>
      </w:r>
      <w:r>
        <w:rPr>
          <w:color w:val="141313" w:themeColor="text1"/>
          <w:sz w:val="18"/>
          <w:lang w:val="en-GB"/>
        </w:rPr>
        <w:t xml:space="preserve">unit costs </w:t>
      </w:r>
      <w:r w:rsidRPr="006A4CAC">
        <w:rPr>
          <w:color w:val="141313" w:themeColor="text1"/>
          <w:sz w:val="18"/>
          <w:lang w:val="en-GB"/>
        </w:rPr>
        <w:t>over the next ten years.</w:t>
      </w:r>
    </w:p>
    <w:p w:rsidR="00766BE0" w:rsidRDefault="00766BE0" w:rsidP="00C401C6">
      <w:pPr>
        <w:pStyle w:val="Titre2"/>
        <w:ind w:firstLine="180"/>
        <w:rPr>
          <w:lang w:val="en-GB"/>
        </w:rPr>
      </w:pPr>
      <w:bookmarkStart w:id="21" w:name="_Toc360628242"/>
      <w:r>
        <w:rPr>
          <w:lang w:val="en-GB"/>
        </w:rPr>
        <w:t xml:space="preserve">4.8 </w:t>
      </w:r>
      <w:r w:rsidR="00C401C6">
        <w:rPr>
          <w:lang w:val="en-GB"/>
        </w:rPr>
        <w:t>SMALL-SCALE LNG</w:t>
      </w:r>
      <w:bookmarkEnd w:id="21"/>
    </w:p>
    <w:p w:rsidR="00766BE0" w:rsidRDefault="00766BE0" w:rsidP="00766BE0">
      <w:pPr>
        <w:spacing w:line="252" w:lineRule="auto"/>
        <w:ind w:left="180"/>
        <w:jc w:val="both"/>
        <w:rPr>
          <w:b/>
          <w:bCs/>
          <w:color w:val="141313" w:themeColor="text1"/>
          <w:sz w:val="18"/>
          <w:szCs w:val="22"/>
          <w:lang w:val="en-GB"/>
        </w:rPr>
      </w:pPr>
    </w:p>
    <w:p w:rsidR="00766BE0" w:rsidRPr="00940B48" w:rsidRDefault="00C33AD1" w:rsidP="00766BE0">
      <w:pPr>
        <w:spacing w:line="252" w:lineRule="auto"/>
        <w:ind w:left="180"/>
        <w:jc w:val="both"/>
        <w:rPr>
          <w:bCs/>
          <w:color w:val="141313" w:themeColor="text1"/>
          <w:sz w:val="18"/>
          <w:szCs w:val="22"/>
          <w:highlight w:val="green"/>
          <w:lang w:val="en-GB"/>
        </w:rPr>
      </w:pPr>
      <w:r w:rsidRPr="00BF7F6C">
        <w:rPr>
          <w:color w:val="141313" w:themeColor="text1"/>
          <w:sz w:val="18"/>
          <w:lang w:val="en-GB"/>
        </w:rPr>
        <w:t xml:space="preserve"> </w:t>
      </w:r>
      <w:r w:rsidR="00766BE0" w:rsidRPr="00BF7F6C">
        <w:rPr>
          <w:color w:val="141313" w:themeColor="text1"/>
          <w:sz w:val="18"/>
          <w:lang w:val="en-GB"/>
        </w:rPr>
        <w:t xml:space="preserve">In the 1960s and </w:t>
      </w:r>
      <w:r w:rsidR="00766BE0" w:rsidRPr="0060385A">
        <w:rPr>
          <w:sz w:val="18"/>
          <w:lang w:val="en-GB"/>
        </w:rPr>
        <w:t xml:space="preserve">1970s, liquefaction projects between 0.25 to 1.5 MTPA were typical sizes for the industry.  </w:t>
      </w:r>
      <w:r w:rsidR="00766BE0" w:rsidRPr="0060385A">
        <w:rPr>
          <w:bCs/>
          <w:sz w:val="18"/>
          <w:szCs w:val="22"/>
          <w:lang w:val="en-GB"/>
        </w:rPr>
        <w:t xml:space="preserve">Only after </w:t>
      </w:r>
      <w:proofErr w:type="spellStart"/>
      <w:r w:rsidR="00766BE0" w:rsidRPr="0060385A">
        <w:rPr>
          <w:bCs/>
          <w:sz w:val="18"/>
          <w:szCs w:val="22"/>
          <w:lang w:val="en-GB"/>
        </w:rPr>
        <w:t>Arun</w:t>
      </w:r>
      <w:proofErr w:type="spellEnd"/>
      <w:r w:rsidR="00766BE0" w:rsidRPr="0060385A">
        <w:rPr>
          <w:bCs/>
          <w:sz w:val="18"/>
          <w:szCs w:val="22"/>
          <w:lang w:val="en-GB"/>
        </w:rPr>
        <w:t xml:space="preserve"> and </w:t>
      </w:r>
      <w:proofErr w:type="spellStart"/>
      <w:r w:rsidR="00766BE0" w:rsidRPr="0060385A">
        <w:rPr>
          <w:bCs/>
          <w:sz w:val="18"/>
          <w:szCs w:val="22"/>
          <w:lang w:val="en-GB"/>
        </w:rPr>
        <w:t>Bontang</w:t>
      </w:r>
      <w:proofErr w:type="spellEnd"/>
      <w:r w:rsidR="00766BE0" w:rsidRPr="0060385A">
        <w:rPr>
          <w:bCs/>
          <w:sz w:val="18"/>
          <w:szCs w:val="22"/>
          <w:lang w:val="en-GB"/>
        </w:rPr>
        <w:t xml:space="preserve"> LNG came online in the</w:t>
      </w:r>
      <w:r w:rsidR="00766BE0" w:rsidRPr="00BF7F6C">
        <w:rPr>
          <w:bCs/>
          <w:color w:val="141313" w:themeColor="text1"/>
          <w:sz w:val="18"/>
          <w:szCs w:val="22"/>
          <w:lang w:val="en-GB"/>
        </w:rPr>
        <w:t xml:space="preserve"> early 1980s, did the average new train size exceed 2 MTPA.</w:t>
      </w:r>
      <w:r w:rsidR="00766BE0">
        <w:rPr>
          <w:bCs/>
          <w:color w:val="141313" w:themeColor="text1"/>
          <w:sz w:val="18"/>
          <w:szCs w:val="22"/>
          <w:lang w:val="en-GB"/>
        </w:rPr>
        <w:t xml:space="preserve"> M</w:t>
      </w:r>
      <w:r w:rsidR="00766BE0" w:rsidRPr="00BF7F6C">
        <w:rPr>
          <w:color w:val="141313" w:themeColor="text1"/>
          <w:sz w:val="18"/>
          <w:lang w:val="en-GB"/>
        </w:rPr>
        <w:t>ore recently, some developers are coming back to small-</w:t>
      </w:r>
      <w:r w:rsidR="00766BE0" w:rsidRPr="00BF7F6C">
        <w:rPr>
          <w:color w:val="141313" w:themeColor="text1"/>
          <w:sz w:val="18"/>
          <w:lang w:val="en-GB"/>
        </w:rPr>
        <w:lastRenderedPageBreak/>
        <w:t xml:space="preserve">scale projects.  </w:t>
      </w:r>
      <w:r w:rsidR="00766BE0" w:rsidRPr="00BF7F6C">
        <w:rPr>
          <w:bCs/>
          <w:color w:val="141313" w:themeColor="text1"/>
          <w:sz w:val="18"/>
          <w:szCs w:val="22"/>
          <w:lang w:val="en-GB"/>
        </w:rPr>
        <w:t xml:space="preserve">In the case of onshore projects, this has mainly been pursued when there </w:t>
      </w:r>
      <w:proofErr w:type="gramStart"/>
      <w:r w:rsidR="00766BE0">
        <w:rPr>
          <w:bCs/>
          <w:color w:val="141313" w:themeColor="text1"/>
          <w:sz w:val="18"/>
          <w:szCs w:val="22"/>
          <w:lang w:val="en-GB"/>
        </w:rPr>
        <w:t>were</w:t>
      </w:r>
      <w:proofErr w:type="gramEnd"/>
      <w:r w:rsidR="00766BE0" w:rsidRPr="00BF7F6C">
        <w:rPr>
          <w:bCs/>
          <w:color w:val="141313" w:themeColor="text1"/>
          <w:sz w:val="18"/>
          <w:szCs w:val="22"/>
          <w:lang w:val="en-GB"/>
        </w:rPr>
        <w:t xml:space="preserve"> small gas reserves located in isolated areas (i.e</w:t>
      </w:r>
      <w:r w:rsidR="00766BE0" w:rsidRPr="00DC1488">
        <w:rPr>
          <w:bCs/>
          <w:sz w:val="18"/>
          <w:szCs w:val="22"/>
          <w:lang w:val="en-GB"/>
        </w:rPr>
        <w:t xml:space="preserve">. </w:t>
      </w:r>
      <w:proofErr w:type="spellStart"/>
      <w:r w:rsidR="00766BE0" w:rsidRPr="00DC1488">
        <w:rPr>
          <w:bCs/>
          <w:sz w:val="18"/>
          <w:szCs w:val="22"/>
          <w:lang w:val="en-GB"/>
        </w:rPr>
        <w:t>Skangass</w:t>
      </w:r>
      <w:proofErr w:type="spellEnd"/>
      <w:r w:rsidR="00766BE0" w:rsidRPr="00DC1488">
        <w:rPr>
          <w:bCs/>
          <w:sz w:val="18"/>
          <w:szCs w:val="22"/>
          <w:lang w:val="en-GB"/>
        </w:rPr>
        <w:t xml:space="preserve"> LNG and </w:t>
      </w:r>
      <w:proofErr w:type="spellStart"/>
      <w:r w:rsidR="00766BE0" w:rsidRPr="00DC1488">
        <w:rPr>
          <w:bCs/>
          <w:sz w:val="18"/>
          <w:szCs w:val="22"/>
          <w:lang w:val="en-GB"/>
        </w:rPr>
        <w:t>Sengkang</w:t>
      </w:r>
      <w:proofErr w:type="spellEnd"/>
      <w:r w:rsidR="00766BE0" w:rsidRPr="00DC1488">
        <w:rPr>
          <w:bCs/>
          <w:sz w:val="18"/>
          <w:szCs w:val="22"/>
          <w:lang w:val="en-GB"/>
        </w:rPr>
        <w:t xml:space="preserve"> LNG). Following the boom in interest for floating liquefaction, a series of projects have been proposed</w:t>
      </w:r>
      <w:r w:rsidR="00766BE0" w:rsidRPr="00BF7F6C">
        <w:rPr>
          <w:bCs/>
          <w:color w:val="141313" w:themeColor="text1"/>
          <w:sz w:val="18"/>
          <w:szCs w:val="22"/>
          <w:lang w:val="en-GB"/>
        </w:rPr>
        <w:t xml:space="preserve"> for offshore gas reserves that are stranded too far from shore to justify a pipeline.  There are no floating liquefaction projects online, thus the technology is unproven.  However three projects </w:t>
      </w:r>
      <w:r w:rsidR="00766BE0">
        <w:rPr>
          <w:bCs/>
          <w:color w:val="141313" w:themeColor="text1"/>
          <w:sz w:val="18"/>
          <w:szCs w:val="22"/>
          <w:lang w:val="en-GB"/>
        </w:rPr>
        <w:t xml:space="preserve">are </w:t>
      </w:r>
      <w:r w:rsidR="00766BE0" w:rsidRPr="00BF7F6C">
        <w:rPr>
          <w:bCs/>
          <w:color w:val="141313" w:themeColor="text1"/>
          <w:sz w:val="18"/>
          <w:szCs w:val="22"/>
          <w:lang w:val="en-GB"/>
        </w:rPr>
        <w:t>under construction, of which two are small</w:t>
      </w:r>
      <w:r w:rsidR="00766BE0">
        <w:rPr>
          <w:bCs/>
          <w:color w:val="141313" w:themeColor="text1"/>
          <w:sz w:val="18"/>
          <w:szCs w:val="22"/>
          <w:lang w:val="en-GB"/>
        </w:rPr>
        <w:t xml:space="preserve"> </w:t>
      </w:r>
      <w:r w:rsidR="00766BE0" w:rsidRPr="00BF7F6C">
        <w:rPr>
          <w:bCs/>
          <w:color w:val="141313" w:themeColor="text1"/>
          <w:sz w:val="18"/>
          <w:szCs w:val="22"/>
          <w:lang w:val="en-GB"/>
        </w:rPr>
        <w:t>s</w:t>
      </w:r>
      <w:r w:rsidR="00766BE0">
        <w:rPr>
          <w:bCs/>
          <w:color w:val="141313" w:themeColor="text1"/>
          <w:sz w:val="18"/>
          <w:szCs w:val="22"/>
          <w:lang w:val="en-GB"/>
        </w:rPr>
        <w:t>cale.</w:t>
      </w:r>
    </w:p>
    <w:p w:rsidR="00766BE0" w:rsidRPr="00940B48" w:rsidRDefault="00766BE0" w:rsidP="00766BE0">
      <w:pPr>
        <w:spacing w:line="252" w:lineRule="auto"/>
        <w:ind w:left="180"/>
        <w:jc w:val="both"/>
        <w:rPr>
          <w:bCs/>
          <w:color w:val="141313" w:themeColor="text1"/>
          <w:sz w:val="18"/>
          <w:szCs w:val="22"/>
          <w:highlight w:val="green"/>
          <w:lang w:val="en-GB"/>
        </w:rPr>
      </w:pPr>
    </w:p>
    <w:p w:rsidR="00766BE0" w:rsidRPr="00B2349D" w:rsidRDefault="00766BE0" w:rsidP="00766BE0">
      <w:pPr>
        <w:spacing w:line="252" w:lineRule="auto"/>
        <w:ind w:left="180"/>
        <w:jc w:val="both"/>
        <w:rPr>
          <w:color w:val="141313" w:themeColor="text1"/>
          <w:sz w:val="18"/>
          <w:lang w:val="en-GB"/>
        </w:rPr>
      </w:pPr>
      <w:r w:rsidRPr="00BF7F6C">
        <w:rPr>
          <w:bCs/>
          <w:color w:val="141313" w:themeColor="text1"/>
          <w:sz w:val="18"/>
          <w:szCs w:val="22"/>
          <w:lang w:val="en-GB"/>
        </w:rPr>
        <w:t xml:space="preserve">Project developers often claim that small-scale liquefaction </w:t>
      </w:r>
      <w:r w:rsidRPr="00B2349D">
        <w:rPr>
          <w:color w:val="141313" w:themeColor="text1"/>
          <w:sz w:val="18"/>
          <w:lang w:val="en-GB"/>
        </w:rPr>
        <w:t xml:space="preserve">offers cost-competitiveness </w:t>
      </w:r>
      <w:r w:rsidR="00133395" w:rsidRPr="00B2349D">
        <w:rPr>
          <w:color w:val="141313" w:themeColor="text1"/>
          <w:sz w:val="18"/>
          <w:lang w:val="en-GB"/>
        </w:rPr>
        <w:t xml:space="preserve">on </w:t>
      </w:r>
      <w:r w:rsidRPr="00B2349D">
        <w:rPr>
          <w:color w:val="141313" w:themeColor="text1"/>
          <w:sz w:val="18"/>
          <w:lang w:val="en-GB"/>
        </w:rPr>
        <w:t xml:space="preserve">an absolute and unit-cost basis.  However, there are few data points, and cost is difficult to generalize for the broader industry. </w:t>
      </w:r>
    </w:p>
    <w:p w:rsidR="00766BE0" w:rsidRPr="00B2349D" w:rsidRDefault="00766BE0" w:rsidP="00766BE0">
      <w:pPr>
        <w:spacing w:line="252" w:lineRule="auto"/>
        <w:ind w:left="180"/>
        <w:jc w:val="both"/>
        <w:rPr>
          <w:color w:val="141313" w:themeColor="text1"/>
          <w:sz w:val="18"/>
          <w:lang w:val="en-GB"/>
        </w:rPr>
      </w:pPr>
    </w:p>
    <w:p w:rsidR="00766BE0" w:rsidRPr="00B2349D" w:rsidRDefault="00766BE0" w:rsidP="00766BE0">
      <w:pPr>
        <w:spacing w:line="252" w:lineRule="auto"/>
        <w:ind w:left="180"/>
        <w:jc w:val="both"/>
        <w:rPr>
          <w:color w:val="141313" w:themeColor="text1"/>
          <w:sz w:val="18"/>
          <w:lang w:val="en-GB"/>
        </w:rPr>
      </w:pPr>
      <w:r w:rsidRPr="00B2349D">
        <w:rPr>
          <w:color w:val="141313" w:themeColor="text1"/>
          <w:sz w:val="18"/>
          <w:lang w:val="en-GB"/>
        </w:rPr>
        <w:t xml:space="preserve">A major challenge to developing LNG projects for independent players has been a lack of company expertise in the liquefaction business.  There are few cases where a company that is not a major IOC or NOC has developed a project on its own.  This same challenge applies to small-scale LNG.  Many companies are involved in this sphere, but not all have experience in large-scale LNG. The early slate of projects in the 1960s and 1970s was largely promoted by NOCs.  Many of the new projects are operated by </w:t>
      </w:r>
      <w:r w:rsidR="00133395" w:rsidRPr="00B2349D">
        <w:rPr>
          <w:color w:val="141313" w:themeColor="text1"/>
          <w:sz w:val="18"/>
          <w:lang w:val="en-GB"/>
        </w:rPr>
        <w:t>new entrants</w:t>
      </w:r>
      <w:r w:rsidRPr="00B2349D">
        <w:rPr>
          <w:color w:val="141313" w:themeColor="text1"/>
          <w:sz w:val="18"/>
          <w:lang w:val="en-GB"/>
        </w:rPr>
        <w:t>.</w:t>
      </w:r>
    </w:p>
    <w:p w:rsidR="00766BE0" w:rsidRPr="00B2349D" w:rsidRDefault="00766BE0" w:rsidP="00766BE0">
      <w:pPr>
        <w:spacing w:line="252" w:lineRule="auto"/>
        <w:ind w:left="180"/>
        <w:jc w:val="both"/>
        <w:rPr>
          <w:color w:val="141313" w:themeColor="text1"/>
          <w:sz w:val="18"/>
          <w:lang w:val="en-GB"/>
        </w:rPr>
      </w:pPr>
    </w:p>
    <w:p w:rsidR="00EC4DB6" w:rsidRPr="00B2349D" w:rsidRDefault="00B2349D" w:rsidP="00B2349D">
      <w:pPr>
        <w:spacing w:line="252" w:lineRule="auto"/>
        <w:ind w:left="180"/>
        <w:jc w:val="both"/>
        <w:rPr>
          <w:color w:val="141313" w:themeColor="text1"/>
          <w:sz w:val="18"/>
          <w:lang w:val="en-GB"/>
        </w:rPr>
        <w:sectPr w:rsidR="00EC4DB6" w:rsidRPr="00B2349D" w:rsidSect="00D77416">
          <w:type w:val="continuous"/>
          <w:pgSz w:w="12240" w:h="15840" w:code="1"/>
          <w:pgMar w:top="1728" w:right="1080" w:bottom="1080" w:left="1008" w:header="720" w:footer="504" w:gutter="0"/>
          <w:cols w:num="2" w:space="432"/>
          <w:titlePg/>
          <w:docGrid w:linePitch="272"/>
        </w:sectPr>
      </w:pPr>
      <w:r>
        <w:rPr>
          <w:noProof/>
          <w:color w:val="141313" w:themeColor="text1"/>
          <w:sz w:val="18"/>
          <w:lang w:val="fr-FR" w:eastAsia="zh-CN"/>
        </w:rPr>
        <w:drawing>
          <wp:anchor distT="0" distB="0" distL="114300" distR="114300" simplePos="0" relativeHeight="251722752" behindDoc="0" locked="0" layoutInCell="1" allowOverlap="1">
            <wp:simplePos x="0" y="0"/>
            <wp:positionH relativeFrom="column">
              <wp:posOffset>-3209925</wp:posOffset>
            </wp:positionH>
            <wp:positionV relativeFrom="paragraph">
              <wp:posOffset>1710690</wp:posOffset>
            </wp:positionV>
            <wp:extent cx="6229350" cy="3000375"/>
            <wp:effectExtent l="19050" t="0" r="0" b="0"/>
            <wp:wrapNone/>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6229350" cy="3000375"/>
                    </a:xfrm>
                    <a:prstGeom prst="rect">
                      <a:avLst/>
                    </a:prstGeom>
                    <a:noFill/>
                    <a:ln w="9525">
                      <a:noFill/>
                      <a:miter lim="800000"/>
                      <a:headEnd/>
                      <a:tailEnd/>
                    </a:ln>
                  </pic:spPr>
                </pic:pic>
              </a:graphicData>
            </a:graphic>
          </wp:anchor>
        </w:drawing>
      </w:r>
      <w:r w:rsidR="00766BE0" w:rsidRPr="00B2349D">
        <w:rPr>
          <w:color w:val="141313" w:themeColor="text1"/>
          <w:sz w:val="18"/>
          <w:lang w:val="en-GB"/>
        </w:rPr>
        <w:t xml:space="preserve">Beyond LNG exports, small-scale liquefaction has also been proposed for domestic use. Several countries around the Baltic Sea (Norway, Finland, </w:t>
      </w:r>
      <w:proofErr w:type="gramStart"/>
      <w:r w:rsidR="00766BE0" w:rsidRPr="00B2349D">
        <w:rPr>
          <w:color w:val="141313" w:themeColor="text1"/>
          <w:sz w:val="18"/>
          <w:lang w:val="en-GB"/>
        </w:rPr>
        <w:t>Russia</w:t>
      </w:r>
      <w:proofErr w:type="gramEnd"/>
      <w:r w:rsidR="00766BE0" w:rsidRPr="00B2349D">
        <w:rPr>
          <w:color w:val="141313" w:themeColor="text1"/>
          <w:sz w:val="18"/>
          <w:lang w:val="en-GB"/>
        </w:rPr>
        <w:t>) have small-scale plants that produce LNG for use in industrial plants. China has a growing LNG-fuelled vehicle industry that has been developed mostly by Chinese companies, though IOCs have also proposed developing small-scale liquefaction to take advantage of this trend. Similarly, proposals exist in the United States to significantly ramp up domestic LNG production on a small sca</w:t>
      </w:r>
      <w:r>
        <w:rPr>
          <w:color w:val="141313" w:themeColor="text1"/>
          <w:sz w:val="18"/>
          <w:lang w:val="en-GB"/>
        </w:rPr>
        <w:t>le for use in transportation.</w:t>
      </w:r>
    </w:p>
    <w:p w:rsidR="00766BE0" w:rsidRPr="006A4CAC" w:rsidRDefault="00073EEA" w:rsidP="00766BE0">
      <w:pPr>
        <w:pageBreakBefore/>
        <w:spacing w:line="252" w:lineRule="auto"/>
        <w:ind w:left="634"/>
        <w:jc w:val="both"/>
        <w:rPr>
          <w:b/>
          <w:i/>
          <w:color w:val="215A99"/>
          <w:sz w:val="18"/>
          <w:szCs w:val="22"/>
          <w:lang w:val="en-GB"/>
        </w:rPr>
      </w:pPr>
      <w:r w:rsidRPr="00073EEA">
        <w:rPr>
          <w:noProof/>
          <w:lang w:eastAsia="en-US"/>
        </w:rPr>
        <w:lastRenderedPageBreak/>
        <w:pict>
          <v:shape id="_x0000_s1054" type="#_x0000_t202" style="position:absolute;left:0;text-align:left;margin-left:-37.9pt;margin-top:1.05pt;width:30pt;height:115.6pt;z-index:251653120;mso-wrap-edited:f;mso-width-relative:margin;mso-height-relative:margin" wrapcoords="0 0 21600 0 21600 21600 0 21600 0 0" filled="f" stroked="f" strokecolor="silver">
            <v:fill o:detectmouseclick="t"/>
            <v:textbox style="layout-flow:vertical;mso-layout-flow-alt:bottom-to-top;mso-next-textbox:#_x0000_s1054" inset=",7.2pt,,7.2pt">
              <w:txbxContent>
                <w:p w:rsidR="00856114" w:rsidRPr="007312CB" w:rsidRDefault="00856114" w:rsidP="00766BE0">
                  <w:pPr>
                    <w:pageBreakBefore/>
                    <w:jc w:val="right"/>
                    <w:rPr>
                      <w:b/>
                      <w:i/>
                      <w:color w:val="215A99"/>
                      <w:sz w:val="24"/>
                      <w:szCs w:val="22"/>
                      <w:lang w:val="en-GB"/>
                    </w:rPr>
                  </w:pPr>
                  <w:r w:rsidRPr="007312CB">
                    <w:rPr>
                      <w:b/>
                      <w:i/>
                      <w:color w:val="215A99"/>
                      <w:sz w:val="24"/>
                      <w:szCs w:val="22"/>
                      <w:lang w:val="en-GB"/>
                    </w:rPr>
                    <w:t>Looking Ahead:</w:t>
                  </w:r>
                </w:p>
                <w:p w:rsidR="00856114" w:rsidRPr="007312CB" w:rsidRDefault="00856114" w:rsidP="00766BE0">
                  <w:pPr>
                    <w:jc w:val="right"/>
                    <w:rPr>
                      <w:color w:val="215A99"/>
                      <w:sz w:val="28"/>
                    </w:rPr>
                  </w:pPr>
                </w:p>
              </w:txbxContent>
            </v:textbox>
            <w10:wrap type="through"/>
          </v:shape>
        </w:pict>
      </w:r>
      <w:r w:rsidRPr="00073EEA">
        <w:rPr>
          <w:noProof/>
          <w:lang w:eastAsia="en-US"/>
        </w:rPr>
        <w:pict>
          <v:line id="_x0000_s1056" style="position:absolute;left:0;text-align:left;flip:y;z-index:251655168;visibility:visible" from="-4pt,1.05pt" to="-4pt,187.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" strokecolor="#215a99" strokeweight="2pt">
            <v:shadow opacity="24903f" origin=",.5" offset="0,.55556mm"/>
          </v:line>
        </w:pict>
      </w:r>
      <w:r w:rsidR="00766BE0" w:rsidRPr="006A4CAC">
        <w:rPr>
          <w:b/>
          <w:i/>
          <w:color w:val="215A99"/>
          <w:sz w:val="18"/>
          <w:szCs w:val="22"/>
          <w:lang w:val="en-GB"/>
        </w:rPr>
        <w:t xml:space="preserve">How big will North American LNG be? </w:t>
      </w:r>
      <w:r w:rsidR="00766BE0" w:rsidRPr="006A4CAC">
        <w:rPr>
          <w:i/>
          <w:color w:val="215A99"/>
          <w:sz w:val="18"/>
          <w:szCs w:val="22"/>
          <w:lang w:val="en-GB"/>
        </w:rPr>
        <w:t xml:space="preserve">Over 250 </w:t>
      </w:r>
      <w:r w:rsidR="00766BE0">
        <w:rPr>
          <w:i/>
          <w:color w:val="215A99"/>
          <w:sz w:val="18"/>
          <w:szCs w:val="22"/>
          <w:lang w:val="en-GB"/>
        </w:rPr>
        <w:t>MTPA</w:t>
      </w:r>
      <w:r w:rsidR="00766BE0" w:rsidRPr="006A4CAC">
        <w:rPr>
          <w:i/>
          <w:color w:val="215A99"/>
          <w:sz w:val="18"/>
          <w:szCs w:val="22"/>
          <w:lang w:val="en-GB"/>
        </w:rPr>
        <w:t xml:space="preserve"> of liquefaction capacity has been proposed in North America, with 189 </w:t>
      </w:r>
      <w:r w:rsidR="00766BE0">
        <w:rPr>
          <w:i/>
          <w:color w:val="215A99"/>
          <w:sz w:val="18"/>
          <w:szCs w:val="22"/>
          <w:lang w:val="en-GB"/>
        </w:rPr>
        <w:t>MTPA</w:t>
      </w:r>
      <w:r w:rsidR="00766BE0" w:rsidRPr="006A4CAC">
        <w:rPr>
          <w:i/>
          <w:color w:val="215A99"/>
          <w:sz w:val="18"/>
          <w:szCs w:val="22"/>
          <w:lang w:val="en-GB"/>
        </w:rPr>
        <w:t xml:space="preserve"> alone in the United States Lower 48. However, only </w:t>
      </w:r>
      <w:r w:rsidR="00FF514B" w:rsidRPr="00133395">
        <w:rPr>
          <w:i/>
          <w:color w:val="215A99"/>
          <w:sz w:val="18"/>
          <w:szCs w:val="22"/>
          <w:lang w:val="en-GB"/>
        </w:rPr>
        <w:t>four</w:t>
      </w:r>
      <w:r w:rsidR="00766BE0">
        <w:rPr>
          <w:i/>
          <w:color w:val="215A99"/>
          <w:sz w:val="18"/>
          <w:szCs w:val="22"/>
          <w:lang w:val="en-GB"/>
        </w:rPr>
        <w:t xml:space="preserve"> trains</w:t>
      </w:r>
      <w:r w:rsidR="00766BE0" w:rsidRPr="006A4CAC">
        <w:rPr>
          <w:i/>
          <w:color w:val="215A99"/>
          <w:sz w:val="18"/>
          <w:szCs w:val="22"/>
          <w:lang w:val="en-GB"/>
        </w:rPr>
        <w:t xml:space="preserve"> </w:t>
      </w:r>
      <w:r w:rsidR="00766BE0">
        <w:rPr>
          <w:i/>
          <w:color w:val="215A99"/>
          <w:sz w:val="18"/>
          <w:szCs w:val="22"/>
          <w:lang w:val="en-GB"/>
        </w:rPr>
        <w:t>have</w:t>
      </w:r>
      <w:r w:rsidR="00766BE0" w:rsidRPr="006A4CAC">
        <w:rPr>
          <w:i/>
          <w:color w:val="215A99"/>
          <w:sz w:val="18"/>
          <w:szCs w:val="22"/>
          <w:lang w:val="en-GB"/>
        </w:rPr>
        <w:t xml:space="preserve"> been sanctioned, with others stymied </w:t>
      </w:r>
      <w:r w:rsidR="00766BE0" w:rsidRPr="0060385A">
        <w:rPr>
          <w:i/>
          <w:color w:val="215A99"/>
          <w:sz w:val="18"/>
          <w:szCs w:val="22"/>
          <w:lang w:val="en-GB"/>
        </w:rPr>
        <w:t>by energy policy</w:t>
      </w:r>
      <w:r w:rsidR="00766BE0" w:rsidRPr="006A4CAC">
        <w:rPr>
          <w:i/>
          <w:color w:val="215A99"/>
          <w:sz w:val="18"/>
          <w:szCs w:val="22"/>
          <w:lang w:val="en-GB"/>
        </w:rPr>
        <w:t xml:space="preserve"> (in the US) and pricing (Canada). The pace at which these projects are able to overcome their hurdles relative to other emerging liquefaction plays will be a major determinant of the eventual size of North American LNG exports.</w:t>
      </w:r>
    </w:p>
    <w:p w:rsidR="00766BE0" w:rsidRPr="0060385A" w:rsidRDefault="00766BE0" w:rsidP="00766BE0">
      <w:pPr>
        <w:spacing w:line="252" w:lineRule="auto"/>
        <w:ind w:left="630"/>
        <w:jc w:val="both"/>
        <w:rPr>
          <w:i/>
          <w:color w:val="215A99"/>
          <w:sz w:val="18"/>
          <w:szCs w:val="22"/>
          <w:lang w:val="en-GB"/>
        </w:rPr>
      </w:pPr>
    </w:p>
    <w:p w:rsidR="00766BE0" w:rsidRPr="006A4CAC" w:rsidRDefault="00766BE0" w:rsidP="00766BE0">
      <w:pPr>
        <w:spacing w:line="252" w:lineRule="auto"/>
        <w:ind w:left="630"/>
        <w:jc w:val="both"/>
        <w:rPr>
          <w:b/>
          <w:i/>
          <w:color w:val="215A99"/>
          <w:sz w:val="18"/>
          <w:szCs w:val="22"/>
          <w:lang w:val="en-GB"/>
        </w:rPr>
      </w:pPr>
      <w:r w:rsidRPr="0060385A">
        <w:rPr>
          <w:b/>
          <w:i/>
          <w:color w:val="215A99"/>
          <w:sz w:val="18"/>
          <w:szCs w:val="22"/>
          <w:lang w:val="en-GB"/>
        </w:rPr>
        <w:t>Will the LNG industry be able to sanction and then successfully commission projects at a rate necessary to keep pace with LNG demand growth?</w:t>
      </w:r>
      <w:r w:rsidRPr="0060385A">
        <w:rPr>
          <w:i/>
          <w:color w:val="215A99"/>
          <w:sz w:val="18"/>
          <w:szCs w:val="22"/>
          <w:lang w:val="en-GB"/>
        </w:rPr>
        <w:t xml:space="preserve">  </w:t>
      </w:r>
      <w:r w:rsidRPr="006A4CAC">
        <w:rPr>
          <w:i/>
          <w:color w:val="215A99"/>
          <w:sz w:val="18"/>
          <w:szCs w:val="22"/>
          <w:lang w:val="en-GB"/>
        </w:rPr>
        <w:t>The pace of project sanctioning is expected to slow significantly over the next few years – with only two projects expected in 2013 – as the world attempts to gain a handle on how large the US market can be. It is also unclear whether, once under construction, LNG supply projects will be able to successfully start up on schedule. This is currently most relevant for the Australian projects planning to begin production around mid-decade when the supply-demand balance is expected to be particularly tight.</w:t>
      </w:r>
    </w:p>
    <w:p w:rsidR="00766BE0" w:rsidRPr="007312CB" w:rsidRDefault="00766BE0" w:rsidP="00766BE0">
      <w:pPr>
        <w:spacing w:line="252" w:lineRule="auto"/>
        <w:ind w:left="630"/>
        <w:jc w:val="both"/>
        <w:rPr>
          <w:b/>
          <w:i/>
          <w:color w:val="215A99"/>
          <w:sz w:val="18"/>
          <w:szCs w:val="22"/>
          <w:lang w:val="en-GB"/>
        </w:rPr>
      </w:pPr>
    </w:p>
    <w:p w:rsidR="00766BE0" w:rsidRDefault="00766BE0" w:rsidP="00766BE0">
      <w:pPr>
        <w:spacing w:line="252" w:lineRule="auto"/>
        <w:ind w:left="630"/>
        <w:jc w:val="both"/>
        <w:rPr>
          <w:i/>
          <w:color w:val="215A99"/>
          <w:sz w:val="18"/>
          <w:szCs w:val="22"/>
          <w:lang w:val="en-GB"/>
        </w:rPr>
      </w:pPr>
      <w:r w:rsidRPr="006C5A89">
        <w:rPr>
          <w:b/>
          <w:i/>
          <w:color w:val="215A99"/>
          <w:sz w:val="18"/>
          <w:szCs w:val="22"/>
          <w:lang w:val="en-GB"/>
        </w:rPr>
        <w:t xml:space="preserve">Will new pricing structures emerge with new export markets? </w:t>
      </w:r>
      <w:r w:rsidRPr="006C5A89">
        <w:rPr>
          <w:i/>
          <w:color w:val="215A99"/>
          <w:sz w:val="18"/>
          <w:szCs w:val="22"/>
          <w:lang w:val="en-GB"/>
        </w:rPr>
        <w:t xml:space="preserve">The potentially large supply of LNG from the hub-based North American market has spurred discussions of a transition away from oil-linked LNG. However, expectations of hub-linked pricing have presented problems to projects in Western Canada, where high infrastructure costs and distance from the grid have led project partners to </w:t>
      </w:r>
      <w:r w:rsidR="00FF514B" w:rsidRPr="00133395">
        <w:rPr>
          <w:i/>
          <w:color w:val="215A99"/>
          <w:sz w:val="18"/>
          <w:szCs w:val="22"/>
          <w:lang w:val="en-GB"/>
        </w:rPr>
        <w:t>require</w:t>
      </w:r>
      <w:r w:rsidRPr="006C5A89">
        <w:rPr>
          <w:i/>
          <w:color w:val="215A99"/>
          <w:sz w:val="18"/>
          <w:szCs w:val="22"/>
          <w:lang w:val="en-GB"/>
        </w:rPr>
        <w:t xml:space="preserve"> oil-linked prices.</w:t>
      </w: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Default="002867DD" w:rsidP="002867DD">
      <w:pPr>
        <w:spacing w:line="252" w:lineRule="auto"/>
        <w:ind w:left="630"/>
        <w:rPr>
          <w:i/>
          <w:color w:val="215A99"/>
          <w:sz w:val="18"/>
          <w:szCs w:val="22"/>
          <w:lang w:val="en-GB"/>
        </w:rPr>
      </w:pPr>
      <w:r>
        <w:rPr>
          <w:i/>
          <w:noProof/>
          <w:color w:val="215A99"/>
          <w:sz w:val="18"/>
          <w:szCs w:val="22"/>
          <w:lang w:val="fr-FR" w:eastAsia="zh-CN"/>
        </w:rPr>
        <w:drawing>
          <wp:anchor distT="0" distB="0" distL="114300" distR="114300" simplePos="0" relativeHeight="251699200" behindDoc="0" locked="0" layoutInCell="1" allowOverlap="1">
            <wp:simplePos x="0" y="0"/>
            <wp:positionH relativeFrom="column">
              <wp:posOffset>150495</wp:posOffset>
            </wp:positionH>
            <wp:positionV relativeFrom="paragraph">
              <wp:posOffset>481965</wp:posOffset>
            </wp:positionV>
            <wp:extent cx="6438900" cy="4124325"/>
            <wp:effectExtent l="19050" t="0" r="0" b="0"/>
            <wp:wrapSquare wrapText="bothSides"/>
            <wp:docPr id="12" name="Picture 5" descr="G:\GlobalGas_NEW_\Client Companies\International Gas Union\2013 World LNG Report\Pictures\Train 6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GlobalGas_NEW_\Client Companies\International Gas Union\2013 World LNG Report\Pictures\Train 6 v2.jpg"/>
                    <pic:cNvPicPr>
                      <a:picLocks noChangeAspect="1" noChangeArrowheads="1"/>
                    </pic:cNvPicPr>
                  </pic:nvPicPr>
                  <pic:blipFill>
                    <a:blip r:embed="rId43" cstate="print"/>
                    <a:srcRect/>
                    <a:stretch>
                      <a:fillRect/>
                    </a:stretch>
                  </pic:blipFill>
                  <pic:spPr bwMode="auto">
                    <a:xfrm>
                      <a:off x="0" y="0"/>
                      <a:ext cx="6438900" cy="4124325"/>
                    </a:xfrm>
                    <a:prstGeom prst="rect">
                      <a:avLst/>
                    </a:prstGeom>
                    <a:noFill/>
                    <a:ln w="9525">
                      <a:noFill/>
                      <a:miter lim="800000"/>
                      <a:headEnd/>
                      <a:tailEnd/>
                    </a:ln>
                  </pic:spPr>
                </pic:pic>
              </a:graphicData>
            </a:graphic>
          </wp:anchor>
        </w:drawing>
      </w:r>
    </w:p>
    <w:p w:rsidR="002867DD" w:rsidRDefault="002867DD" w:rsidP="00766BE0">
      <w:pPr>
        <w:spacing w:line="252" w:lineRule="auto"/>
        <w:ind w:left="630"/>
        <w:jc w:val="both"/>
        <w:rPr>
          <w:i/>
          <w:color w:val="215A99"/>
          <w:sz w:val="18"/>
          <w:szCs w:val="22"/>
          <w:lang w:val="en-GB"/>
        </w:rPr>
      </w:pPr>
    </w:p>
    <w:p w:rsidR="002867DD" w:rsidRDefault="002867DD" w:rsidP="00766BE0">
      <w:pPr>
        <w:spacing w:line="252" w:lineRule="auto"/>
        <w:ind w:left="630"/>
        <w:jc w:val="both"/>
        <w:rPr>
          <w:i/>
          <w:color w:val="215A99"/>
          <w:sz w:val="18"/>
          <w:szCs w:val="22"/>
          <w:lang w:val="en-GB"/>
        </w:rPr>
      </w:pPr>
    </w:p>
    <w:p w:rsidR="002867DD" w:rsidRPr="002867DD" w:rsidRDefault="00073EEA" w:rsidP="00766BE0">
      <w:pPr>
        <w:spacing w:line="252" w:lineRule="auto"/>
        <w:ind w:left="630"/>
        <w:jc w:val="both"/>
        <w:rPr>
          <w:sz w:val="18"/>
          <w:szCs w:val="22"/>
          <w:lang w:val="en-GB"/>
        </w:rPr>
      </w:pPr>
      <w:r w:rsidRPr="00073EEA">
        <w:rPr>
          <w:i/>
          <w:noProof/>
          <w:color w:val="215A99"/>
          <w:sz w:val="18"/>
          <w:szCs w:val="22"/>
          <w:lang w:eastAsia="en-US"/>
        </w:rPr>
        <w:pict>
          <v:shape id="_x0000_s1119" type="#_x0000_t202" style="position:absolute;left:0;text-align:left;margin-left:441pt;margin-top:311.95pt;width:68.95pt;height:15pt;z-index:251700224;mso-width-relative:margin;mso-height-relative:margin" filled="f" stroked="f" strokecolor="silver">
            <v:textbox style="mso-next-textbox:#_x0000_s1119">
              <w:txbxContent>
                <w:p w:rsidR="00856114" w:rsidRPr="008B1893" w:rsidRDefault="00856114" w:rsidP="008B1893">
                  <w:pPr>
                    <w:jc w:val="right"/>
                    <w:rPr>
                      <w:sz w:val="12"/>
                      <w:szCs w:val="12"/>
                    </w:rPr>
                  </w:pPr>
                  <w:r w:rsidRPr="008B1893">
                    <w:rPr>
                      <w:sz w:val="12"/>
                      <w:szCs w:val="12"/>
                    </w:rPr>
                    <w:t xml:space="preserve">© </w:t>
                  </w:r>
                  <w:proofErr w:type="spellStart"/>
                  <w:r w:rsidRPr="008B1893">
                    <w:rPr>
                      <w:sz w:val="12"/>
                      <w:szCs w:val="12"/>
                    </w:rPr>
                    <w:t>Qatargas</w:t>
                  </w:r>
                  <w:proofErr w:type="spellEnd"/>
                </w:p>
              </w:txbxContent>
            </v:textbox>
          </v:shape>
        </w:pict>
      </w:r>
      <w:proofErr w:type="spellStart"/>
      <w:r w:rsidR="002867DD" w:rsidRPr="002867DD">
        <w:rPr>
          <w:sz w:val="18"/>
          <w:szCs w:val="22"/>
          <w:lang w:val="en-GB"/>
        </w:rPr>
        <w:t>Qatargas</w:t>
      </w:r>
      <w:proofErr w:type="spellEnd"/>
      <w:r w:rsidR="002867DD" w:rsidRPr="002867DD">
        <w:rPr>
          <w:sz w:val="18"/>
          <w:szCs w:val="22"/>
          <w:lang w:val="en-GB"/>
        </w:rPr>
        <w:t xml:space="preserve"> Train 6, </w:t>
      </w:r>
      <w:proofErr w:type="spellStart"/>
      <w:r w:rsidR="002867DD" w:rsidRPr="002867DD">
        <w:rPr>
          <w:sz w:val="18"/>
          <w:szCs w:val="22"/>
          <w:lang w:val="en-GB"/>
        </w:rPr>
        <w:t>Ras</w:t>
      </w:r>
      <w:proofErr w:type="spellEnd"/>
      <w:r w:rsidR="002867DD" w:rsidRPr="002867DD">
        <w:rPr>
          <w:sz w:val="18"/>
          <w:szCs w:val="22"/>
          <w:lang w:val="en-GB"/>
        </w:rPr>
        <w:t xml:space="preserve"> </w:t>
      </w:r>
      <w:proofErr w:type="spellStart"/>
      <w:r w:rsidR="002867DD" w:rsidRPr="002867DD">
        <w:rPr>
          <w:sz w:val="18"/>
          <w:szCs w:val="22"/>
          <w:lang w:val="en-GB"/>
        </w:rPr>
        <w:t>Laffan</w:t>
      </w:r>
      <w:proofErr w:type="spellEnd"/>
      <w:r w:rsidR="002867DD" w:rsidRPr="002867DD">
        <w:rPr>
          <w:sz w:val="18"/>
          <w:szCs w:val="22"/>
          <w:lang w:val="en-GB"/>
        </w:rPr>
        <w:t>, Qatar</w:t>
      </w:r>
    </w:p>
    <w:p w:rsidR="003C4484" w:rsidRPr="00743D84" w:rsidRDefault="003C4484" w:rsidP="00627EEA">
      <w:pPr>
        <w:pStyle w:val="Titre1"/>
        <w:rPr>
          <w:lang w:val="en-GB"/>
        </w:rPr>
      </w:pPr>
      <w:bookmarkStart w:id="22" w:name="_Toc360628243"/>
      <w:r w:rsidRPr="00743D84">
        <w:rPr>
          <w:lang w:val="en-GB"/>
        </w:rPr>
        <w:lastRenderedPageBreak/>
        <w:t>5.  LNG Receiving Terminals</w:t>
      </w:r>
      <w:bookmarkEnd w:id="22"/>
    </w:p>
    <w:p w:rsidR="003C4484" w:rsidRDefault="003C4484" w:rsidP="003C4484">
      <w:pPr>
        <w:spacing w:line="252" w:lineRule="auto"/>
        <w:ind w:left="180"/>
        <w:jc w:val="both"/>
        <w:rPr>
          <w:color w:val="141313" w:themeColor="text1"/>
          <w:sz w:val="18"/>
          <w:szCs w:val="22"/>
          <w:lang w:val="en-GB"/>
        </w:rPr>
        <w:sectPr w:rsidR="003C4484" w:rsidSect="003C4484">
          <w:headerReference w:type="default" r:id="rId44"/>
          <w:headerReference w:type="first" r:id="rId45"/>
          <w:type w:val="continuous"/>
          <w:pgSz w:w="12240" w:h="15840" w:code="1"/>
          <w:pgMar w:top="1728" w:right="1080" w:bottom="1080" w:left="1008" w:header="720" w:footer="504" w:gutter="0"/>
          <w:cols w:space="720"/>
          <w:docGrid w:linePitch="272"/>
        </w:sectPr>
      </w:pPr>
    </w:p>
    <w:p w:rsidR="003C4484" w:rsidRDefault="003C4484" w:rsidP="003C4484">
      <w:pPr>
        <w:spacing w:after="120" w:line="252" w:lineRule="auto"/>
        <w:jc w:val="both"/>
        <w:rPr>
          <w:b/>
          <w:i/>
          <w:color w:val="215A99"/>
          <w:sz w:val="18"/>
          <w:szCs w:val="22"/>
          <w:lang w:val="en-GB"/>
        </w:rPr>
      </w:pPr>
      <w:r w:rsidRPr="002D5D2D">
        <w:rPr>
          <w:b/>
          <w:i/>
          <w:color w:val="215A99"/>
          <w:sz w:val="18"/>
          <w:szCs w:val="22"/>
          <w:lang w:val="en-GB"/>
        </w:rPr>
        <w:lastRenderedPageBreak/>
        <w:t xml:space="preserve">The number of LNG </w:t>
      </w:r>
      <w:r w:rsidRPr="00743D84">
        <w:rPr>
          <w:b/>
          <w:i/>
          <w:color w:val="215A99"/>
          <w:sz w:val="18"/>
          <w:szCs w:val="22"/>
          <w:lang w:val="en-GB"/>
        </w:rPr>
        <w:t>importing</w:t>
      </w:r>
      <w:r w:rsidRPr="002D5D2D">
        <w:rPr>
          <w:b/>
          <w:i/>
          <w:color w:val="215A99"/>
          <w:sz w:val="18"/>
          <w:szCs w:val="22"/>
          <w:lang w:val="en-GB"/>
        </w:rPr>
        <w:t xml:space="preserve"> countries is expanding as new markets turn to LNG to meet growing energy demand and </w:t>
      </w:r>
      <w:r>
        <w:rPr>
          <w:b/>
          <w:i/>
          <w:color w:val="215A99"/>
          <w:sz w:val="18"/>
          <w:szCs w:val="22"/>
          <w:lang w:val="en-GB"/>
        </w:rPr>
        <w:t xml:space="preserve">to </w:t>
      </w:r>
      <w:r w:rsidRPr="002D5D2D">
        <w:rPr>
          <w:b/>
          <w:i/>
          <w:color w:val="215A99"/>
          <w:sz w:val="18"/>
          <w:szCs w:val="22"/>
          <w:lang w:val="en-GB"/>
        </w:rPr>
        <w:t xml:space="preserve">replace existing fuels. This is also the case in existing markets in Asia, but competition from domestic gas production in North America and slackening gas demand in Europe has cut demand in the Atlantic Basin, leaving a large number of regasification terminals underutilized. </w:t>
      </w:r>
    </w:p>
    <w:p w:rsidR="003C4484" w:rsidRDefault="003C4484" w:rsidP="003C4484">
      <w:pPr>
        <w:spacing w:after="120" w:line="252" w:lineRule="auto"/>
        <w:jc w:val="both"/>
        <w:rPr>
          <w:i/>
          <w:color w:val="215A99"/>
          <w:sz w:val="18"/>
          <w:szCs w:val="22"/>
          <w:lang w:val="en-GB"/>
        </w:rPr>
      </w:pPr>
      <w:r w:rsidRPr="002D5D2D">
        <w:rPr>
          <w:i/>
          <w:color w:val="215A99"/>
          <w:sz w:val="18"/>
          <w:szCs w:val="22"/>
          <w:lang w:val="en-GB"/>
        </w:rPr>
        <w:t>Global regasification capacity continued to grow in 2012</w:t>
      </w:r>
      <w:r>
        <w:rPr>
          <w:i/>
          <w:color w:val="215A99"/>
          <w:sz w:val="18"/>
          <w:szCs w:val="22"/>
          <w:lang w:val="en-GB"/>
        </w:rPr>
        <w:t xml:space="preserve"> – to 649</w:t>
      </w:r>
      <w:r w:rsidRPr="002D5D2D">
        <w:rPr>
          <w:i/>
          <w:color w:val="215A99"/>
          <w:sz w:val="18"/>
          <w:szCs w:val="22"/>
          <w:lang w:val="en-GB"/>
        </w:rPr>
        <w:t xml:space="preserve"> </w:t>
      </w:r>
      <w:r>
        <w:rPr>
          <w:i/>
          <w:color w:val="215A99"/>
          <w:sz w:val="18"/>
          <w:szCs w:val="22"/>
          <w:lang w:val="en-GB"/>
        </w:rPr>
        <w:t>MTPA</w:t>
      </w:r>
      <w:r w:rsidRPr="002D5D2D">
        <w:rPr>
          <w:i/>
          <w:color w:val="215A99"/>
          <w:sz w:val="18"/>
          <w:szCs w:val="22"/>
          <w:lang w:val="en-GB"/>
        </w:rPr>
        <w:t xml:space="preserve"> – despite the </w:t>
      </w:r>
      <w:r>
        <w:rPr>
          <w:i/>
          <w:color w:val="215A99"/>
          <w:sz w:val="18"/>
          <w:szCs w:val="22"/>
          <w:lang w:val="en-GB"/>
        </w:rPr>
        <w:t xml:space="preserve">slight </w:t>
      </w:r>
      <w:r w:rsidRPr="002D5D2D">
        <w:rPr>
          <w:i/>
          <w:color w:val="215A99"/>
          <w:sz w:val="18"/>
          <w:szCs w:val="22"/>
          <w:lang w:val="en-GB"/>
        </w:rPr>
        <w:t>drop in global LNG trade, reflecting the increased demand for gas (and LNG) in a shifting and ever-larger number of markets. Many of these new LNG importing markets were not expected to be LNG importing markets as recently as five years ago, as an i</w:t>
      </w:r>
      <w:r w:rsidR="00FF514B">
        <w:rPr>
          <w:i/>
          <w:color w:val="215A99"/>
          <w:sz w:val="18"/>
          <w:szCs w:val="22"/>
          <w:lang w:val="en-GB"/>
        </w:rPr>
        <w:t xml:space="preserve">ncreasing number of </w:t>
      </w:r>
      <w:r w:rsidR="00FF514B" w:rsidRPr="00133395">
        <w:rPr>
          <w:i/>
          <w:color w:val="215A99"/>
          <w:sz w:val="18"/>
          <w:szCs w:val="22"/>
          <w:lang w:val="en-GB"/>
        </w:rPr>
        <w:t>traditional</w:t>
      </w:r>
      <w:r w:rsidRPr="002D5D2D">
        <w:rPr>
          <w:i/>
          <w:color w:val="215A99"/>
          <w:sz w:val="18"/>
          <w:szCs w:val="22"/>
          <w:lang w:val="en-GB"/>
        </w:rPr>
        <w:t xml:space="preserve"> exporting countries have turned to imports to meet growing gas demand or to replace maturing domestic production or piped gas imports.  The </w:t>
      </w:r>
      <w:r>
        <w:rPr>
          <w:i/>
          <w:color w:val="215A99"/>
          <w:sz w:val="18"/>
          <w:szCs w:val="22"/>
          <w:lang w:val="en-GB"/>
        </w:rPr>
        <w:t>wide spread adoption</w:t>
      </w:r>
      <w:r w:rsidRPr="002D5D2D">
        <w:rPr>
          <w:i/>
          <w:color w:val="215A99"/>
          <w:sz w:val="18"/>
          <w:szCs w:val="22"/>
          <w:lang w:val="en-GB"/>
        </w:rPr>
        <w:t xml:space="preserve"> of floating regasification technology has also introduced a measure of flexibility to the market, providing the ability to bring add relatively inexpensive capacity in a short amount of time. Collectively, new markets have brought online </w:t>
      </w:r>
      <w:r w:rsidRPr="003D4380">
        <w:rPr>
          <w:i/>
          <w:color w:val="215A99"/>
          <w:sz w:val="18"/>
          <w:szCs w:val="22"/>
          <w:lang w:val="en-GB"/>
        </w:rPr>
        <w:t>39.2 MTPA of regasification capacity during the past four years</w:t>
      </w:r>
      <w:r w:rsidRPr="007B264D">
        <w:rPr>
          <w:i/>
          <w:color w:val="215A99"/>
          <w:sz w:val="18"/>
          <w:szCs w:val="22"/>
          <w:lang w:val="en-GB"/>
        </w:rPr>
        <w:t>.</w:t>
      </w:r>
      <w:r w:rsidRPr="002D5D2D">
        <w:rPr>
          <w:i/>
          <w:color w:val="215A99"/>
          <w:sz w:val="18"/>
          <w:szCs w:val="22"/>
          <w:lang w:val="en-GB"/>
        </w:rPr>
        <w:t xml:space="preserve">  </w:t>
      </w:r>
    </w:p>
    <w:p w:rsidR="003C4484" w:rsidRPr="00564DBB" w:rsidRDefault="003C4484" w:rsidP="003C4484">
      <w:pPr>
        <w:spacing w:after="120" w:line="252" w:lineRule="auto"/>
        <w:jc w:val="both"/>
        <w:rPr>
          <w:i/>
          <w:color w:val="215A99"/>
          <w:sz w:val="18"/>
          <w:szCs w:val="22"/>
          <w:lang w:val="en-GB"/>
        </w:rPr>
        <w:sectPr w:rsidR="003C4484" w:rsidRPr="00564DBB" w:rsidSect="00E757B1">
          <w:type w:val="continuous"/>
          <w:pgSz w:w="12240" w:h="15840" w:code="1"/>
          <w:pgMar w:top="1728" w:right="1080" w:bottom="1080" w:left="1008" w:header="720" w:footer="504" w:gutter="0"/>
          <w:cols w:space="432"/>
          <w:titlePg/>
          <w:docGrid w:linePitch="272"/>
        </w:sectPr>
      </w:pPr>
    </w:p>
    <w:p w:rsidR="003C4484" w:rsidRDefault="003C4484" w:rsidP="00C401C6">
      <w:pPr>
        <w:pStyle w:val="Titre2"/>
        <w:ind w:firstLine="180"/>
        <w:rPr>
          <w:lang w:val="en-GB"/>
        </w:rPr>
      </w:pPr>
      <w:bookmarkStart w:id="23" w:name="_Toc360628244"/>
      <w:r>
        <w:rPr>
          <w:lang w:val="en-GB"/>
        </w:rPr>
        <w:lastRenderedPageBreak/>
        <w:t>5</w:t>
      </w:r>
      <w:r w:rsidRPr="00564DBB">
        <w:rPr>
          <w:lang w:val="en-GB"/>
        </w:rPr>
        <w:t>.1. OVERVIEW</w:t>
      </w:r>
      <w:bookmarkEnd w:id="23"/>
    </w:p>
    <w:p w:rsidR="003C4484" w:rsidRPr="00564DBB" w:rsidRDefault="003C4484" w:rsidP="003C4484">
      <w:pPr>
        <w:spacing w:line="252" w:lineRule="auto"/>
        <w:ind w:left="180"/>
        <w:jc w:val="both"/>
        <w:rPr>
          <w:b/>
          <w:color w:val="215A99"/>
          <w:sz w:val="18"/>
          <w:lang w:val="en-GB"/>
        </w:rPr>
      </w:pPr>
    </w:p>
    <w:p w:rsidR="00FF514B" w:rsidRPr="00F77E39" w:rsidRDefault="00073EEA" w:rsidP="00FF514B">
      <w:pPr>
        <w:spacing w:line="252" w:lineRule="auto"/>
        <w:ind w:left="180"/>
        <w:jc w:val="both"/>
        <w:rPr>
          <w:color w:val="141313" w:themeColor="text1"/>
          <w:sz w:val="18"/>
          <w:lang w:val="en-GB"/>
        </w:rPr>
      </w:pPr>
      <w:r w:rsidRPr="00073EEA">
        <w:rPr>
          <w:noProof/>
          <w:color w:val="141313" w:themeColor="text1"/>
          <w:sz w:val="18"/>
          <w:lang w:val="en-GB" w:eastAsia="en-GB"/>
        </w:rPr>
        <w:pict>
          <v:shape id="Text Box 34" o:spid="_x0000_s1086" type="#_x0000_t202" style="position:absolute;left:0;text-align:left;margin-left:7.85pt;margin-top:66.15pt;width:111.35pt;height:40.75pt;z-index:251674624;visibility:visible;mso-wrap-distance-left:14.4pt;mso-wrap-distance-right:14.4pt;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" filled="f" stroked="f" strokecolor="silver">
            <v:textbox style="mso-next-textbox:#Text Box 34" inset="0,0,0,0">
              <w:txbxContent>
                <w:p w:rsidR="00856114" w:rsidRPr="003A5BDA" w:rsidRDefault="00856114" w:rsidP="00FF514B">
                  <w:pPr>
                    <w:rPr>
                      <w:b/>
                      <w:color w:val="1B82CE" w:themeColor="accent3"/>
                      <w:sz w:val="24"/>
                    </w:rPr>
                  </w:pPr>
                  <w:r>
                    <w:rPr>
                      <w:b/>
                      <w:color w:val="1B82CE" w:themeColor="accent3"/>
                      <w:sz w:val="24"/>
                    </w:rPr>
                    <w:t>649 MTPA</w:t>
                  </w:r>
                </w:p>
                <w:p w:rsidR="00856114" w:rsidRPr="003A5BDA" w:rsidRDefault="00856114" w:rsidP="00FF514B">
                  <w:pPr>
                    <w:rPr>
                      <w:i/>
                      <w:color w:val="1B82CE" w:themeColor="accent3"/>
                      <w:sz w:val="18"/>
                    </w:rPr>
                  </w:pPr>
                  <w:r>
                    <w:rPr>
                      <w:i/>
                      <w:color w:val="1B82CE" w:themeColor="accent3"/>
                      <w:sz w:val="18"/>
                    </w:rPr>
                    <w:t>Global LNG receiving capacity at the end of 2012</w:t>
                  </w:r>
                </w:p>
              </w:txbxContent>
            </v:textbox>
            <w10:wrap type="tight"/>
          </v:shape>
        </w:pict>
      </w:r>
      <w:r w:rsidR="00FF514B" w:rsidRPr="00F77E39">
        <w:rPr>
          <w:color w:val="141313" w:themeColor="text1"/>
          <w:sz w:val="18"/>
          <w:lang w:val="en-GB"/>
        </w:rPr>
        <w:t xml:space="preserve">The number of LNG-importing markets continues to grow as countries turn to LNG to meet gas demand; the number of countries holding regasification capacity in 2012 </w:t>
      </w:r>
      <w:r w:rsidR="00FF514B">
        <w:rPr>
          <w:color w:val="141313" w:themeColor="text1"/>
          <w:sz w:val="18"/>
          <w:lang w:val="en-GB"/>
        </w:rPr>
        <w:t xml:space="preserve">grew </w:t>
      </w:r>
      <w:r w:rsidR="00FF514B" w:rsidRPr="00F77E39">
        <w:rPr>
          <w:color w:val="141313" w:themeColor="text1"/>
          <w:sz w:val="18"/>
          <w:lang w:val="en-GB"/>
        </w:rPr>
        <w:t xml:space="preserve">by more </w:t>
      </w:r>
      <w:r w:rsidR="00FF514B" w:rsidRPr="003F7BAC">
        <w:rPr>
          <w:sz w:val="18"/>
          <w:lang w:val="en-GB"/>
        </w:rPr>
        <w:t>than 150% relative to 2002.  Between 2009 and 2012, ten countries added their first regasification terminals (two of which are small-scale)</w:t>
      </w:r>
      <w:r w:rsidR="00FF514B" w:rsidRPr="003F7BAC">
        <w:rPr>
          <w:rStyle w:val="Appelnotedebasdep"/>
          <w:sz w:val="18"/>
          <w:lang w:val="en-GB"/>
        </w:rPr>
        <w:footnoteReference w:id="7"/>
      </w:r>
      <w:r w:rsidR="00FF514B" w:rsidRPr="003F7BAC">
        <w:rPr>
          <w:sz w:val="18"/>
          <w:lang w:val="en-GB"/>
        </w:rPr>
        <w:t>. Half of these new markets added capacity in just the last two years: Indonesia, the Netherlands, Thailand, Norway, and Sweden</w:t>
      </w:r>
      <w:r w:rsidR="00FF514B" w:rsidRPr="003F7BAC">
        <w:rPr>
          <w:rStyle w:val="Appelnotedebasdep"/>
          <w:sz w:val="18"/>
          <w:lang w:val="en-GB"/>
        </w:rPr>
        <w:footnoteReference w:id="8"/>
      </w:r>
      <w:r w:rsidR="00FF514B" w:rsidRPr="003F7BAC">
        <w:rPr>
          <w:sz w:val="18"/>
          <w:lang w:val="en-GB"/>
        </w:rPr>
        <w:t>. Further, Israel, Singapore, and Malaysia brought terminals online in early 2013. Notably, four out of these ten countries are located in South America (Brazil, Chile) and the Middle East (Kuwait,</w:t>
      </w:r>
      <w:r w:rsidR="00FF514B" w:rsidRPr="00F77E39">
        <w:rPr>
          <w:color w:val="141313" w:themeColor="text1"/>
          <w:sz w:val="18"/>
          <w:lang w:val="en-GB"/>
        </w:rPr>
        <w:t xml:space="preserve"> UAE), two non-traditional and emerging LNG importing regions.  </w:t>
      </w:r>
    </w:p>
    <w:p w:rsidR="003C4484" w:rsidRDefault="003C4484" w:rsidP="00C401C6">
      <w:pPr>
        <w:pStyle w:val="Titre2"/>
        <w:ind w:left="180"/>
        <w:rPr>
          <w:lang w:val="en-GB"/>
        </w:rPr>
      </w:pPr>
      <w:bookmarkStart w:id="24" w:name="_Toc360628245"/>
      <w:r>
        <w:rPr>
          <w:lang w:val="en-GB"/>
        </w:rPr>
        <w:t>5.2</w:t>
      </w:r>
      <w:r w:rsidRPr="00564DBB">
        <w:rPr>
          <w:lang w:val="en-GB"/>
        </w:rPr>
        <w:t xml:space="preserve">. </w:t>
      </w:r>
      <w:r w:rsidRPr="00D51433">
        <w:rPr>
          <w:lang w:val="en-GB"/>
        </w:rPr>
        <w:t>RECEIVING TERMINAL CAPACITY AND UTILIZATION GLOBALLY</w:t>
      </w:r>
      <w:bookmarkEnd w:id="24"/>
    </w:p>
    <w:p w:rsidR="003C4484" w:rsidRDefault="003C4484" w:rsidP="003C4484">
      <w:pPr>
        <w:spacing w:line="252" w:lineRule="auto"/>
        <w:ind w:left="180"/>
        <w:jc w:val="both"/>
        <w:rPr>
          <w:b/>
          <w:color w:val="215A99"/>
          <w:sz w:val="18"/>
          <w:lang w:val="en-GB"/>
        </w:rPr>
      </w:pPr>
    </w:p>
    <w:p w:rsidR="003C4484" w:rsidRPr="00F77E39" w:rsidRDefault="003C4484" w:rsidP="003C4484">
      <w:pPr>
        <w:spacing w:line="252" w:lineRule="auto"/>
        <w:ind w:left="180"/>
        <w:jc w:val="both"/>
        <w:rPr>
          <w:color w:val="141313" w:themeColor="text1"/>
          <w:sz w:val="18"/>
          <w:lang w:val="en-GB"/>
        </w:rPr>
      </w:pPr>
      <w:r w:rsidRPr="00F77E39">
        <w:rPr>
          <w:color w:val="141313" w:themeColor="text1"/>
          <w:sz w:val="18"/>
          <w:lang w:val="en-GB"/>
        </w:rPr>
        <w:t xml:space="preserve">At the end of 2012, there were 98 existing regasification terminals in the world, for a total of 649 MTPA in regasification capacity. Out of these, fourteen terminals are small-scale and contribute a combined capacity of 4.6 MTPA. The majority of small scale terminals are located in Japan (79%), while China, Sweden, and Norway have one terminal each; the latter is largely used to receive domestic LNG. One terminal, the floating Gulf Gateway regasification terminal in the US Gulf of Mexico, was decommissioned in 2011, while the El </w:t>
      </w:r>
      <w:proofErr w:type="spellStart"/>
      <w:r w:rsidRPr="00F77E39">
        <w:rPr>
          <w:color w:val="141313" w:themeColor="text1"/>
          <w:sz w:val="18"/>
          <w:lang w:val="en-GB"/>
        </w:rPr>
        <w:t>Musel</w:t>
      </w:r>
      <w:proofErr w:type="spellEnd"/>
      <w:r w:rsidRPr="00F77E39">
        <w:rPr>
          <w:color w:val="141313" w:themeColor="text1"/>
          <w:sz w:val="18"/>
          <w:lang w:val="en-GB"/>
        </w:rPr>
        <w:t xml:space="preserve"> terminal in Spain was mothballed immediately after the completion of construction in 2012.</w:t>
      </w:r>
    </w:p>
    <w:p w:rsidR="003C4484" w:rsidRPr="00F77E39" w:rsidRDefault="003C4484" w:rsidP="003C4484">
      <w:pPr>
        <w:spacing w:line="252" w:lineRule="auto"/>
        <w:ind w:left="180"/>
        <w:jc w:val="both"/>
        <w:rPr>
          <w:color w:val="141313" w:themeColor="text1"/>
          <w:sz w:val="18"/>
          <w:lang w:val="en-GB"/>
        </w:rPr>
      </w:pPr>
    </w:p>
    <w:p w:rsidR="003C4484" w:rsidRPr="00F77E39" w:rsidRDefault="003C4484" w:rsidP="003C4484">
      <w:pPr>
        <w:spacing w:line="252" w:lineRule="auto"/>
        <w:ind w:left="180"/>
        <w:jc w:val="both"/>
        <w:rPr>
          <w:color w:val="141313" w:themeColor="text1"/>
          <w:sz w:val="18"/>
          <w:lang w:val="en-GB"/>
        </w:rPr>
      </w:pPr>
      <w:r w:rsidRPr="00F77E39">
        <w:rPr>
          <w:color w:val="141313" w:themeColor="text1"/>
          <w:sz w:val="18"/>
          <w:lang w:val="en-GB"/>
        </w:rPr>
        <w:t>Five terminals came online in 2012, of these, only one was located in an entirely new market – the floating Nusantara terminal in the traditionally exporting market of Indonesia. The terminal came online in June and has only received cargoes from domestic LNG plants (</w:t>
      </w:r>
      <w:proofErr w:type="spellStart"/>
      <w:r w:rsidRPr="00F77E39">
        <w:rPr>
          <w:color w:val="141313" w:themeColor="text1"/>
          <w:sz w:val="18"/>
          <w:lang w:val="en-GB"/>
        </w:rPr>
        <w:t>Bontang</w:t>
      </w:r>
      <w:proofErr w:type="spellEnd"/>
      <w:r w:rsidRPr="00F77E39">
        <w:rPr>
          <w:color w:val="141313" w:themeColor="text1"/>
          <w:sz w:val="18"/>
          <w:lang w:val="en-GB"/>
        </w:rPr>
        <w:t xml:space="preserve"> LNG and </w:t>
      </w:r>
      <w:proofErr w:type="spellStart"/>
      <w:r w:rsidRPr="00F77E39">
        <w:rPr>
          <w:color w:val="141313" w:themeColor="text1"/>
          <w:sz w:val="18"/>
          <w:lang w:val="en-GB"/>
        </w:rPr>
        <w:lastRenderedPageBreak/>
        <w:t>Tangguh</w:t>
      </w:r>
      <w:proofErr w:type="spellEnd"/>
      <w:r w:rsidRPr="00F77E39">
        <w:rPr>
          <w:color w:val="141313" w:themeColor="text1"/>
          <w:sz w:val="18"/>
          <w:lang w:val="en-GB"/>
        </w:rPr>
        <w:t xml:space="preserve"> LNG). Three terminals were brought online in Japan to match its increased demand for LNG (Ishikari, </w:t>
      </w:r>
      <w:proofErr w:type="spellStart"/>
      <w:r w:rsidRPr="00F77E39">
        <w:rPr>
          <w:color w:val="141313" w:themeColor="text1"/>
          <w:sz w:val="18"/>
          <w:lang w:val="en-GB"/>
        </w:rPr>
        <w:t>Yoshinoura</w:t>
      </w:r>
      <w:proofErr w:type="spellEnd"/>
      <w:r w:rsidRPr="00F77E39">
        <w:rPr>
          <w:color w:val="141313" w:themeColor="text1"/>
          <w:sz w:val="18"/>
          <w:lang w:val="en-GB"/>
        </w:rPr>
        <w:t xml:space="preserve">, and </w:t>
      </w:r>
      <w:proofErr w:type="spellStart"/>
      <w:r w:rsidRPr="00F77E39">
        <w:rPr>
          <w:color w:val="141313" w:themeColor="text1"/>
          <w:sz w:val="18"/>
          <w:lang w:val="en-GB"/>
        </w:rPr>
        <w:t>Joetsu</w:t>
      </w:r>
      <w:proofErr w:type="spellEnd"/>
      <w:r w:rsidRPr="00F77E39">
        <w:rPr>
          <w:color w:val="141313" w:themeColor="text1"/>
          <w:sz w:val="18"/>
          <w:lang w:val="en-GB"/>
        </w:rPr>
        <w:t xml:space="preserve">). Finally, the </w:t>
      </w:r>
      <w:proofErr w:type="spellStart"/>
      <w:r w:rsidRPr="00F77E39">
        <w:rPr>
          <w:color w:val="141313" w:themeColor="text1"/>
          <w:sz w:val="18"/>
          <w:lang w:val="en-GB"/>
        </w:rPr>
        <w:t>Manzanillo</w:t>
      </w:r>
      <w:proofErr w:type="spellEnd"/>
      <w:r w:rsidRPr="00F77E39">
        <w:rPr>
          <w:color w:val="141313" w:themeColor="text1"/>
          <w:sz w:val="18"/>
          <w:lang w:val="en-GB"/>
        </w:rPr>
        <w:t xml:space="preserve"> terminal was brought online in Mexico. Further, two terminal expansions were completed, at </w:t>
      </w:r>
      <w:proofErr w:type="spellStart"/>
      <w:r w:rsidRPr="00F77E39">
        <w:rPr>
          <w:color w:val="141313" w:themeColor="text1"/>
          <w:sz w:val="18"/>
          <w:lang w:val="en-GB"/>
        </w:rPr>
        <w:t>Sines</w:t>
      </w:r>
      <w:proofErr w:type="spellEnd"/>
      <w:r w:rsidRPr="00F77E39">
        <w:rPr>
          <w:color w:val="141313" w:themeColor="text1"/>
          <w:sz w:val="18"/>
          <w:lang w:val="en-GB"/>
        </w:rPr>
        <w:t xml:space="preserve"> LNG in Portugal and </w:t>
      </w:r>
      <w:proofErr w:type="spellStart"/>
      <w:r w:rsidRPr="00F77E39">
        <w:rPr>
          <w:color w:val="141313" w:themeColor="text1"/>
          <w:sz w:val="18"/>
          <w:lang w:val="en-GB"/>
        </w:rPr>
        <w:t>Peñuelas</w:t>
      </w:r>
      <w:proofErr w:type="spellEnd"/>
      <w:r w:rsidRPr="00F77E39">
        <w:rPr>
          <w:color w:val="141313" w:themeColor="text1"/>
          <w:sz w:val="18"/>
          <w:lang w:val="en-GB"/>
        </w:rPr>
        <w:t xml:space="preserve"> in Puerto Rico. In total, 12.1 MTPA was added in 2012, down from a record number of start-ups totalling 54.8 MTPA in 2011. </w:t>
      </w:r>
    </w:p>
    <w:tbl>
      <w:tblPr>
        <w:tblpPr w:leftFromText="180" w:rightFromText="180" w:vertAnchor="text" w:horzAnchor="margin" w:tblpXSpec="right" w:tblpY="93"/>
        <w:tblW w:w="4975" w:type="dxa"/>
        <w:tblLayout w:type="fixed"/>
        <w:tblLook w:val="01E0"/>
      </w:tblPr>
      <w:tblGrid>
        <w:gridCol w:w="4975"/>
      </w:tblGrid>
      <w:tr w:rsidR="003C4484" w:rsidRPr="00F77E39" w:rsidTr="00E757B1">
        <w:trPr>
          <w:trHeight w:val="2938"/>
        </w:trPr>
        <w:tc>
          <w:tcPr>
            <w:tcW w:w="4975" w:type="dxa"/>
          </w:tcPr>
          <w:p w:rsidR="003C4484" w:rsidRPr="00F77E39" w:rsidRDefault="003C4484" w:rsidP="00E757B1">
            <w:pPr>
              <w:pStyle w:val="PFCBulletedText2"/>
              <w:spacing w:before="120" w:after="0"/>
              <w:ind w:left="0" w:firstLine="0"/>
              <w:jc w:val="left"/>
              <w:rPr>
                <w:noProof/>
                <w:color w:val="141313" w:themeColor="text1"/>
                <w:lang w:eastAsia="en-US"/>
              </w:rPr>
            </w:pPr>
            <w:r w:rsidRPr="00F77E39">
              <w:rPr>
                <w:noProof/>
                <w:color w:val="141313" w:themeColor="text1"/>
                <w:lang w:val="fr-FR" w:eastAsia="zh-CN"/>
              </w:rPr>
              <w:drawing>
                <wp:inline distT="0" distB="0" distL="0" distR="0">
                  <wp:extent cx="3019425" cy="2026920"/>
                  <wp:effectExtent l="19050" t="0" r="9525"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3019425" cy="2026920"/>
                          </a:xfrm>
                          <a:prstGeom prst="rect">
                            <a:avLst/>
                          </a:prstGeom>
                          <a:noFill/>
                          <a:ln w="9525">
                            <a:noFill/>
                            <a:miter lim="800000"/>
                            <a:headEnd/>
                            <a:tailEnd/>
                          </a:ln>
                        </pic:spPr>
                      </pic:pic>
                    </a:graphicData>
                  </a:graphic>
                </wp:inline>
              </w:drawing>
            </w:r>
          </w:p>
          <w:p w:rsidR="003C4484" w:rsidRPr="00F77E39" w:rsidRDefault="003C4484" w:rsidP="00E757B1">
            <w:pPr>
              <w:pStyle w:val="PFCBulletedText2"/>
              <w:ind w:left="0" w:firstLine="0"/>
              <w:jc w:val="left"/>
              <w:rPr>
                <w:b/>
                <w:color w:val="141313" w:themeColor="text1"/>
                <w:sz w:val="18"/>
                <w:szCs w:val="18"/>
              </w:rPr>
            </w:pPr>
            <w:r w:rsidRPr="00F77E39">
              <w:rPr>
                <w:b/>
                <w:color w:val="141313" w:themeColor="text1"/>
                <w:sz w:val="18"/>
                <w:szCs w:val="18"/>
              </w:rPr>
              <w:t xml:space="preserve">Figure </w:t>
            </w:r>
            <w:r w:rsidR="004C2905">
              <w:rPr>
                <w:b/>
                <w:color w:val="141313" w:themeColor="text1"/>
                <w:sz w:val="18"/>
                <w:szCs w:val="18"/>
              </w:rPr>
              <w:t>5.</w:t>
            </w:r>
            <w:r w:rsidRPr="00F77E39">
              <w:rPr>
                <w:b/>
                <w:color w:val="141313" w:themeColor="text1"/>
                <w:sz w:val="18"/>
                <w:szCs w:val="18"/>
              </w:rPr>
              <w:t xml:space="preserve">1:  LNG Receiving Capacity by Status and Region, as of Q2 2013      </w:t>
            </w:r>
          </w:p>
          <w:p w:rsidR="003C4484" w:rsidRPr="00F77E39" w:rsidRDefault="003C4484" w:rsidP="00E757B1">
            <w:pPr>
              <w:pStyle w:val="PFCBulletedText2"/>
              <w:ind w:left="0" w:firstLine="0"/>
              <w:jc w:val="left"/>
              <w:rPr>
                <w:b/>
                <w:color w:val="141313" w:themeColor="text1"/>
                <w:sz w:val="18"/>
                <w:szCs w:val="18"/>
              </w:rPr>
            </w:pPr>
            <w:r w:rsidRPr="00F77E39">
              <w:rPr>
                <w:i/>
                <w:color w:val="141313" w:themeColor="text1"/>
                <w:sz w:val="16"/>
                <w:szCs w:val="16"/>
              </w:rPr>
              <w:t>Sources: PFC Energy Global LNG Service, Company Announcements</w:t>
            </w:r>
          </w:p>
        </w:tc>
      </w:tr>
    </w:tbl>
    <w:p w:rsidR="003C4484" w:rsidRPr="00F77E39" w:rsidRDefault="003C4484" w:rsidP="003C4484">
      <w:pPr>
        <w:spacing w:line="252" w:lineRule="auto"/>
        <w:ind w:left="180"/>
        <w:jc w:val="both"/>
        <w:rPr>
          <w:color w:val="141313" w:themeColor="text1"/>
          <w:sz w:val="18"/>
          <w:lang w:val="en-GB"/>
        </w:rPr>
      </w:pPr>
    </w:p>
    <w:p w:rsidR="003C4484" w:rsidRPr="003F7BAC" w:rsidRDefault="00FF514B" w:rsidP="003C4484">
      <w:pPr>
        <w:spacing w:line="252" w:lineRule="auto"/>
        <w:ind w:left="180"/>
        <w:jc w:val="both"/>
        <w:rPr>
          <w:sz w:val="18"/>
          <w:lang w:val="en-GB"/>
        </w:rPr>
      </w:pPr>
      <w:r w:rsidRPr="00F77E39">
        <w:rPr>
          <w:color w:val="141313" w:themeColor="text1"/>
          <w:sz w:val="18"/>
          <w:lang w:val="en-GB"/>
        </w:rPr>
        <w:t xml:space="preserve">In early 2013, one terminal in India completed an expansion (Hazira) </w:t>
      </w:r>
      <w:r w:rsidRPr="003F7BAC">
        <w:rPr>
          <w:sz w:val="18"/>
          <w:lang w:val="en-GB"/>
        </w:rPr>
        <w:t>and terminals were brought online in Israel (</w:t>
      </w:r>
      <w:proofErr w:type="spellStart"/>
      <w:r w:rsidRPr="003F7BAC">
        <w:rPr>
          <w:sz w:val="18"/>
          <w:lang w:val="en-GB"/>
        </w:rPr>
        <w:t>Hadera</w:t>
      </w:r>
      <w:proofErr w:type="spellEnd"/>
      <w:r w:rsidRPr="003F7BAC">
        <w:rPr>
          <w:sz w:val="18"/>
          <w:lang w:val="en-GB"/>
        </w:rPr>
        <w:t xml:space="preserve"> Gateway), Singapore (</w:t>
      </w:r>
      <w:proofErr w:type="spellStart"/>
      <w:r w:rsidRPr="003F7BAC">
        <w:rPr>
          <w:sz w:val="18"/>
          <w:lang w:val="en-GB"/>
        </w:rPr>
        <w:t>Jurong</w:t>
      </w:r>
      <w:proofErr w:type="spellEnd"/>
      <w:r w:rsidRPr="003F7BAC">
        <w:rPr>
          <w:sz w:val="18"/>
          <w:lang w:val="en-GB"/>
        </w:rPr>
        <w:t xml:space="preserve"> Island), India (Dabhol), China (Ningbo/Zhejiang), and Malaysia (</w:t>
      </w:r>
      <w:proofErr w:type="spellStart"/>
      <w:r w:rsidRPr="003F7BAC">
        <w:rPr>
          <w:sz w:val="18"/>
          <w:lang w:val="en-GB"/>
        </w:rPr>
        <w:t>Lekas</w:t>
      </w:r>
      <w:proofErr w:type="spellEnd"/>
      <w:r w:rsidRPr="003F7BAC">
        <w:rPr>
          <w:sz w:val="18"/>
          <w:lang w:val="en-GB"/>
        </w:rPr>
        <w:t>), bringing total capacity up to 663.8 MTPA from 103 terminals.</w:t>
      </w:r>
    </w:p>
    <w:p w:rsidR="00FF514B" w:rsidRPr="00F77E39" w:rsidRDefault="00FF514B" w:rsidP="003C4484">
      <w:pPr>
        <w:spacing w:line="252" w:lineRule="auto"/>
        <w:ind w:left="180"/>
        <w:jc w:val="both"/>
        <w:rPr>
          <w:color w:val="141313" w:themeColor="text1"/>
          <w:sz w:val="18"/>
          <w:lang w:val="en-GB"/>
        </w:rPr>
      </w:pPr>
    </w:p>
    <w:p w:rsidR="00FF514B" w:rsidRPr="00F601AC" w:rsidRDefault="003C4484" w:rsidP="003C4484">
      <w:pPr>
        <w:spacing w:line="252" w:lineRule="auto"/>
        <w:ind w:left="180"/>
        <w:jc w:val="both"/>
        <w:rPr>
          <w:color w:val="141313" w:themeColor="text1"/>
          <w:sz w:val="18"/>
          <w:lang w:val="en-GB"/>
        </w:rPr>
      </w:pPr>
      <w:r w:rsidRPr="00F77E39">
        <w:rPr>
          <w:color w:val="141313" w:themeColor="text1"/>
          <w:sz w:val="18"/>
          <w:lang w:val="en-GB"/>
        </w:rPr>
        <w:t>As regasification capacity grows, new markets will continue to be added, though at a slower pace than over the past few years</w:t>
      </w:r>
      <w:r w:rsidRPr="00F601AC">
        <w:rPr>
          <w:color w:val="141313" w:themeColor="text1"/>
          <w:sz w:val="18"/>
          <w:lang w:val="en-GB"/>
        </w:rPr>
        <w:t xml:space="preserve">. Out of the </w:t>
      </w:r>
      <w:r w:rsidR="00F601AC" w:rsidRPr="00F601AC">
        <w:rPr>
          <w:color w:val="141313" w:themeColor="text1"/>
          <w:sz w:val="18"/>
          <w:lang w:val="en-GB"/>
        </w:rPr>
        <w:t>29</w:t>
      </w:r>
      <w:r w:rsidRPr="00F601AC">
        <w:rPr>
          <w:color w:val="141313" w:themeColor="text1"/>
          <w:sz w:val="18"/>
          <w:lang w:val="en-GB"/>
        </w:rPr>
        <w:t xml:space="preserve"> projects under construction (</w:t>
      </w:r>
      <w:r w:rsidR="003F7BAC" w:rsidRPr="00F601AC">
        <w:rPr>
          <w:color w:val="141313" w:themeColor="text1"/>
          <w:sz w:val="18"/>
          <w:lang w:val="en-GB"/>
        </w:rPr>
        <w:t>23</w:t>
      </w:r>
      <w:r w:rsidRPr="00F601AC">
        <w:rPr>
          <w:color w:val="141313" w:themeColor="text1"/>
          <w:sz w:val="18"/>
          <w:lang w:val="en-GB"/>
        </w:rPr>
        <w:t xml:space="preserve"> of which are new terminals), </w:t>
      </w:r>
      <w:r w:rsidR="003F7BAC" w:rsidRPr="00F601AC">
        <w:rPr>
          <w:color w:val="141313" w:themeColor="text1"/>
          <w:sz w:val="18"/>
          <w:lang w:val="en-GB"/>
        </w:rPr>
        <w:t>three</w:t>
      </w:r>
      <w:r w:rsidRPr="00F601AC">
        <w:rPr>
          <w:color w:val="141313" w:themeColor="text1"/>
          <w:sz w:val="18"/>
          <w:lang w:val="en-GB"/>
        </w:rPr>
        <w:t xml:space="preserve"> are </w:t>
      </w:r>
    </w:p>
    <w:tbl>
      <w:tblPr>
        <w:tblpPr w:leftFromText="180" w:rightFromText="180" w:vertAnchor="text" w:horzAnchor="margin" w:tblpY="-82"/>
        <w:tblW w:w="10394" w:type="dxa"/>
        <w:tblLayout w:type="fixed"/>
        <w:tblLook w:val="01E0"/>
      </w:tblPr>
      <w:tblGrid>
        <w:gridCol w:w="10394"/>
      </w:tblGrid>
      <w:tr w:rsidR="00FF514B" w:rsidRPr="00F601AC" w:rsidTr="00FF514B">
        <w:trPr>
          <w:trHeight w:val="2953"/>
        </w:trPr>
        <w:tc>
          <w:tcPr>
            <w:tcW w:w="10394" w:type="dxa"/>
          </w:tcPr>
          <w:p w:rsidR="00FF514B" w:rsidRPr="00F601AC" w:rsidRDefault="00FF514B" w:rsidP="00FF514B">
            <w:pPr>
              <w:pStyle w:val="PFCBulletedText2"/>
              <w:spacing w:before="120" w:after="0"/>
              <w:ind w:left="0" w:firstLine="0"/>
              <w:jc w:val="left"/>
            </w:pPr>
            <w:r w:rsidRPr="00F601AC">
              <w:rPr>
                <w:noProof/>
                <w:lang w:val="fr-FR" w:eastAsia="zh-CN"/>
              </w:rPr>
              <w:lastRenderedPageBreak/>
              <w:drawing>
                <wp:inline distT="0" distB="0" distL="0" distR="0">
                  <wp:extent cx="6384925" cy="2520315"/>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6384925" cy="2520315"/>
                          </a:xfrm>
                          <a:prstGeom prst="rect">
                            <a:avLst/>
                          </a:prstGeom>
                          <a:noFill/>
                          <a:ln w="9525">
                            <a:noFill/>
                            <a:miter lim="800000"/>
                            <a:headEnd/>
                            <a:tailEnd/>
                          </a:ln>
                        </pic:spPr>
                      </pic:pic>
                    </a:graphicData>
                  </a:graphic>
                </wp:inline>
              </w:drawing>
            </w:r>
          </w:p>
          <w:p w:rsidR="00FF514B" w:rsidRPr="00F601AC" w:rsidRDefault="00FF514B" w:rsidP="00FF514B">
            <w:pPr>
              <w:pStyle w:val="PFCBulletedText2"/>
              <w:spacing w:before="120" w:after="0"/>
              <w:ind w:left="0" w:firstLine="0"/>
              <w:jc w:val="left"/>
              <w:rPr>
                <w:b/>
                <w:sz w:val="18"/>
                <w:szCs w:val="18"/>
              </w:rPr>
            </w:pPr>
            <w:r w:rsidRPr="00F601AC">
              <w:rPr>
                <w:b/>
                <w:sz w:val="18"/>
                <w:szCs w:val="18"/>
              </w:rPr>
              <w:t xml:space="preserve">Figure 5.2: </w:t>
            </w:r>
            <w:r w:rsidRPr="00F601AC">
              <w:rPr>
                <w:rFonts w:eastAsia="SimSun"/>
                <w:b/>
                <w:smallCaps/>
                <w:lang w:val="en-GB"/>
              </w:rPr>
              <w:t xml:space="preserve"> </w:t>
            </w:r>
            <w:r w:rsidRPr="00F601AC">
              <w:rPr>
                <w:b/>
                <w:color w:val="141313" w:themeColor="text1"/>
                <w:sz w:val="18"/>
                <w:szCs w:val="18"/>
                <w:lang w:val="en-GB"/>
              </w:rPr>
              <w:t>Start-Ups of LNG Receiving Terminals, 1980-2017</w:t>
            </w:r>
          </w:p>
          <w:p w:rsidR="00FF514B" w:rsidRPr="00F601AC" w:rsidRDefault="00FF514B" w:rsidP="00FF514B">
            <w:pPr>
              <w:pStyle w:val="PFCBulletedText2"/>
              <w:ind w:left="0" w:firstLine="0"/>
              <w:jc w:val="left"/>
              <w:rPr>
                <w:sz w:val="16"/>
                <w:szCs w:val="16"/>
              </w:rPr>
            </w:pPr>
            <w:r w:rsidRPr="00F601AC">
              <w:rPr>
                <w:i/>
                <w:sz w:val="16"/>
                <w:szCs w:val="16"/>
              </w:rPr>
              <w:t>Source: PFC Energy Global LNG Service, Company Announcements</w:t>
            </w:r>
          </w:p>
        </w:tc>
      </w:tr>
    </w:tbl>
    <w:p w:rsidR="005F509B" w:rsidRDefault="005F509B" w:rsidP="003C4484">
      <w:pPr>
        <w:spacing w:line="252" w:lineRule="auto"/>
        <w:ind w:left="180"/>
        <w:jc w:val="both"/>
        <w:rPr>
          <w:color w:val="141313" w:themeColor="text1"/>
          <w:sz w:val="18"/>
          <w:lang w:val="en-GB"/>
        </w:rPr>
      </w:pPr>
    </w:p>
    <w:p w:rsidR="003C4484" w:rsidRPr="00F77E39" w:rsidRDefault="003C4484" w:rsidP="003C4484">
      <w:pPr>
        <w:spacing w:line="252" w:lineRule="auto"/>
        <w:ind w:left="180"/>
        <w:jc w:val="both"/>
        <w:rPr>
          <w:color w:val="141313" w:themeColor="text1"/>
          <w:sz w:val="18"/>
          <w:lang w:val="en-GB"/>
        </w:rPr>
      </w:pPr>
      <w:proofErr w:type="gramStart"/>
      <w:r w:rsidRPr="00F601AC">
        <w:rPr>
          <w:color w:val="141313" w:themeColor="text1"/>
          <w:sz w:val="18"/>
          <w:lang w:val="en-GB"/>
        </w:rPr>
        <w:t>located</w:t>
      </w:r>
      <w:proofErr w:type="gramEnd"/>
      <w:r w:rsidRPr="00F601AC">
        <w:rPr>
          <w:color w:val="141313" w:themeColor="text1"/>
          <w:sz w:val="18"/>
          <w:lang w:val="en-GB"/>
        </w:rPr>
        <w:t xml:space="preserve"> in markets which have never imp</w:t>
      </w:r>
      <w:r w:rsidR="003F7BAC" w:rsidRPr="00F601AC">
        <w:rPr>
          <w:color w:val="141313" w:themeColor="text1"/>
          <w:sz w:val="18"/>
          <w:lang w:val="en-GB"/>
        </w:rPr>
        <w:t>orted LNG: Colombia, Lithuania</w:t>
      </w:r>
      <w:r w:rsidRPr="00F601AC">
        <w:rPr>
          <w:color w:val="141313" w:themeColor="text1"/>
          <w:sz w:val="18"/>
          <w:lang w:val="en-GB"/>
        </w:rPr>
        <w:t>, and Poland</w:t>
      </w:r>
      <w:r w:rsidRPr="00F77E39">
        <w:rPr>
          <w:color w:val="141313" w:themeColor="text1"/>
          <w:sz w:val="18"/>
          <w:lang w:val="en-GB"/>
        </w:rPr>
        <w:t>.</w:t>
      </w:r>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AD0BCD">
        <w:rPr>
          <w:sz w:val="18"/>
          <w:lang w:val="en-GB"/>
        </w:rPr>
        <w:t xml:space="preserve">Global utilization of LNG import terminals has historically been less than 50% due to the seasonal nature of many gas markets, as well as the variations in demand worldwide. Utilization fell to 37% in 2012 both as a result of decreased LNG supply and slumping demand for LNG in Europe and North America, which left many terminals near empty.  </w:t>
      </w:r>
    </w:p>
    <w:p w:rsidR="003C4484" w:rsidRDefault="003C4484" w:rsidP="003C4484">
      <w:pPr>
        <w:spacing w:line="252" w:lineRule="auto"/>
        <w:ind w:left="180"/>
        <w:jc w:val="both"/>
        <w:rPr>
          <w:sz w:val="18"/>
          <w:lang w:val="en-GB"/>
        </w:rPr>
      </w:pPr>
    </w:p>
    <w:tbl>
      <w:tblPr>
        <w:tblpPr w:leftFromText="180" w:rightFromText="180" w:vertAnchor="text" w:horzAnchor="margin" w:tblpY="-67"/>
        <w:tblW w:w="4975" w:type="dxa"/>
        <w:tblLayout w:type="fixed"/>
        <w:tblLook w:val="01E0"/>
      </w:tblPr>
      <w:tblGrid>
        <w:gridCol w:w="4975"/>
      </w:tblGrid>
      <w:tr w:rsidR="003C4484" w:rsidRPr="00A918C1" w:rsidTr="00E757B1">
        <w:trPr>
          <w:trHeight w:val="2938"/>
        </w:trPr>
        <w:tc>
          <w:tcPr>
            <w:tcW w:w="4975" w:type="dxa"/>
          </w:tcPr>
          <w:p w:rsidR="003C4484" w:rsidRDefault="008D48A4" w:rsidP="00E757B1">
            <w:pPr>
              <w:pStyle w:val="PFCBulletedText2"/>
              <w:spacing w:before="120" w:after="0"/>
              <w:ind w:left="0" w:firstLine="0"/>
              <w:jc w:val="left"/>
              <w:rPr>
                <w:noProof/>
                <w:lang w:eastAsia="en-US"/>
              </w:rPr>
            </w:pPr>
            <w:r>
              <w:rPr>
                <w:noProof/>
                <w:lang w:val="fr-FR" w:eastAsia="zh-CN"/>
              </w:rPr>
              <w:drawing>
                <wp:inline distT="0" distB="0" distL="0" distR="0">
                  <wp:extent cx="3019425" cy="2084070"/>
                  <wp:effectExtent l="19050" t="0" r="9525"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3019425" cy="2084070"/>
                          </a:xfrm>
                          <a:prstGeom prst="rect">
                            <a:avLst/>
                          </a:prstGeom>
                          <a:noFill/>
                          <a:ln w="9525">
                            <a:noFill/>
                            <a:miter lim="800000"/>
                            <a:headEnd/>
                            <a:tailEnd/>
                          </a:ln>
                        </pic:spPr>
                      </pic:pic>
                    </a:graphicData>
                  </a:graphic>
                </wp:inline>
              </w:drawing>
            </w:r>
          </w:p>
          <w:p w:rsidR="003C4484" w:rsidRDefault="003C4484" w:rsidP="00E757B1">
            <w:pPr>
              <w:pStyle w:val="PFCBulletedText2"/>
              <w:ind w:left="0" w:firstLine="0"/>
              <w:jc w:val="left"/>
              <w:rPr>
                <w:b/>
                <w:sz w:val="18"/>
                <w:szCs w:val="18"/>
              </w:rPr>
            </w:pPr>
            <w:r>
              <w:rPr>
                <w:b/>
                <w:sz w:val="18"/>
                <w:szCs w:val="18"/>
              </w:rPr>
              <w:t xml:space="preserve">Figure </w:t>
            </w:r>
            <w:r w:rsidR="004C2905">
              <w:rPr>
                <w:b/>
                <w:sz w:val="18"/>
                <w:szCs w:val="18"/>
              </w:rPr>
              <w:t>5.</w:t>
            </w:r>
            <w:r w:rsidRPr="00AD0BCD">
              <w:rPr>
                <w:b/>
                <w:color w:val="141313" w:themeColor="text1"/>
                <w:sz w:val="18"/>
                <w:szCs w:val="18"/>
              </w:rPr>
              <w:t xml:space="preserve">3:  </w:t>
            </w:r>
            <w:r w:rsidRPr="00AD0BCD">
              <w:rPr>
                <w:rFonts w:eastAsia="SimSun"/>
                <w:b/>
                <w:smallCaps/>
                <w:color w:val="141313" w:themeColor="text1"/>
                <w:lang w:val="en-GB"/>
              </w:rPr>
              <w:t xml:space="preserve"> </w:t>
            </w:r>
            <w:r w:rsidRPr="00AD0BCD">
              <w:rPr>
                <w:b/>
                <w:color w:val="141313" w:themeColor="text1"/>
                <w:sz w:val="18"/>
                <w:szCs w:val="18"/>
                <w:lang w:val="en-GB"/>
              </w:rPr>
              <w:t>Global Receiving Terminal Capacity, 2000-2017</w:t>
            </w:r>
            <w:r>
              <w:rPr>
                <w:b/>
                <w:sz w:val="18"/>
                <w:szCs w:val="18"/>
              </w:rPr>
              <w:t xml:space="preserve">     </w:t>
            </w:r>
          </w:p>
          <w:p w:rsidR="003C4484" w:rsidRPr="002055A2" w:rsidRDefault="003C4484"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5F509B" w:rsidRDefault="003C4484" w:rsidP="003C4484">
      <w:pPr>
        <w:spacing w:line="252" w:lineRule="auto"/>
        <w:ind w:left="180"/>
        <w:jc w:val="both"/>
        <w:rPr>
          <w:color w:val="141313" w:themeColor="text1"/>
          <w:sz w:val="18"/>
          <w:lang w:val="en-GB"/>
        </w:rPr>
      </w:pPr>
      <w:r w:rsidRPr="00F77E39">
        <w:rPr>
          <w:color w:val="141313" w:themeColor="text1"/>
          <w:sz w:val="18"/>
          <w:lang w:val="en-GB"/>
        </w:rPr>
        <w:t xml:space="preserve">As an increasing number of small to medium-sized terminals came online, the average maximum send-out capacity of regasification terminals has declined, from 8.0 </w:t>
      </w:r>
      <w:proofErr w:type="spellStart"/>
      <w:r w:rsidRPr="00F77E39">
        <w:rPr>
          <w:color w:val="141313" w:themeColor="text1"/>
          <w:sz w:val="18"/>
          <w:lang w:val="en-GB"/>
        </w:rPr>
        <w:t>bcm</w:t>
      </w:r>
      <w:proofErr w:type="spellEnd"/>
      <w:r w:rsidRPr="00F77E39">
        <w:rPr>
          <w:color w:val="141313" w:themeColor="text1"/>
          <w:sz w:val="18"/>
          <w:lang w:val="en-GB"/>
        </w:rPr>
        <w:t xml:space="preserve">/yr in 2011 (5.8 MTPA) to 7.6 </w:t>
      </w:r>
      <w:proofErr w:type="spellStart"/>
      <w:r w:rsidRPr="00F77E39">
        <w:rPr>
          <w:color w:val="141313" w:themeColor="text1"/>
          <w:sz w:val="18"/>
          <w:lang w:val="en-GB"/>
        </w:rPr>
        <w:t>bcm</w:t>
      </w:r>
      <w:proofErr w:type="spellEnd"/>
      <w:r w:rsidRPr="00F77E39">
        <w:rPr>
          <w:color w:val="141313" w:themeColor="text1"/>
          <w:sz w:val="18"/>
          <w:lang w:val="en-GB"/>
        </w:rPr>
        <w:t xml:space="preserve">/yr (5.6 MTPA) in April 2013. The advent of floating regasification technology </w:t>
      </w:r>
    </w:p>
    <w:p w:rsidR="005F509B" w:rsidRDefault="005F509B" w:rsidP="003C4484">
      <w:pPr>
        <w:spacing w:line="252" w:lineRule="auto"/>
        <w:ind w:left="180"/>
        <w:jc w:val="both"/>
        <w:rPr>
          <w:color w:val="141313" w:themeColor="text1"/>
          <w:sz w:val="18"/>
          <w:lang w:val="en-GB"/>
        </w:rPr>
      </w:pPr>
    </w:p>
    <w:p w:rsidR="003C4484" w:rsidRPr="00F77E39" w:rsidRDefault="003C4484" w:rsidP="003C4484">
      <w:pPr>
        <w:spacing w:line="252" w:lineRule="auto"/>
        <w:ind w:left="180"/>
        <w:jc w:val="both"/>
        <w:rPr>
          <w:color w:val="141313" w:themeColor="text1"/>
          <w:sz w:val="18"/>
          <w:lang w:val="en-GB"/>
        </w:rPr>
      </w:pPr>
      <w:proofErr w:type="gramStart"/>
      <w:r w:rsidRPr="00F77E39">
        <w:rPr>
          <w:color w:val="141313" w:themeColor="text1"/>
          <w:sz w:val="18"/>
          <w:lang w:val="en-GB"/>
        </w:rPr>
        <w:t>has</w:t>
      </w:r>
      <w:proofErr w:type="gramEnd"/>
      <w:r w:rsidRPr="00F77E39">
        <w:rPr>
          <w:color w:val="141313" w:themeColor="text1"/>
          <w:sz w:val="18"/>
          <w:lang w:val="en-GB"/>
        </w:rPr>
        <w:t xml:space="preserve"> aided this shift, as the average capacity of floating terminals is only 4.7 </w:t>
      </w:r>
      <w:proofErr w:type="spellStart"/>
      <w:r w:rsidRPr="00F77E39">
        <w:rPr>
          <w:color w:val="141313" w:themeColor="text1"/>
          <w:sz w:val="18"/>
          <w:lang w:val="en-GB"/>
        </w:rPr>
        <w:t>bcm</w:t>
      </w:r>
      <w:proofErr w:type="spellEnd"/>
      <w:r w:rsidRPr="00F77E39">
        <w:rPr>
          <w:color w:val="141313" w:themeColor="text1"/>
          <w:sz w:val="18"/>
          <w:lang w:val="en-GB"/>
        </w:rPr>
        <w:t>/yr (3.4 MTPA).</w:t>
      </w:r>
    </w:p>
    <w:tbl>
      <w:tblPr>
        <w:tblpPr w:leftFromText="180" w:rightFromText="180" w:vertAnchor="text" w:horzAnchor="margin" w:tblpXSpec="right" w:tblpY="97"/>
        <w:tblW w:w="4975" w:type="dxa"/>
        <w:tblLayout w:type="fixed"/>
        <w:tblLook w:val="01E0"/>
      </w:tblPr>
      <w:tblGrid>
        <w:gridCol w:w="4975"/>
      </w:tblGrid>
      <w:tr w:rsidR="003C4484" w:rsidRPr="00A918C1" w:rsidTr="00E757B1">
        <w:trPr>
          <w:trHeight w:val="2938"/>
        </w:trPr>
        <w:tc>
          <w:tcPr>
            <w:tcW w:w="4975" w:type="dxa"/>
          </w:tcPr>
          <w:p w:rsidR="003C4484" w:rsidRDefault="003C4484" w:rsidP="00E757B1">
            <w:pPr>
              <w:pStyle w:val="PFCBulletedText2"/>
              <w:spacing w:before="120" w:after="0"/>
              <w:ind w:left="0" w:firstLine="0"/>
              <w:jc w:val="left"/>
              <w:rPr>
                <w:noProof/>
                <w:lang w:eastAsia="en-US"/>
              </w:rPr>
            </w:pPr>
            <w:r>
              <w:rPr>
                <w:noProof/>
                <w:lang w:val="fr-FR" w:eastAsia="zh-CN"/>
              </w:rPr>
              <w:drawing>
                <wp:inline distT="0" distB="0" distL="0" distR="0">
                  <wp:extent cx="3019425" cy="2052955"/>
                  <wp:effectExtent l="19050" t="0" r="9525" b="0"/>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3019425" cy="2052955"/>
                          </a:xfrm>
                          <a:prstGeom prst="rect">
                            <a:avLst/>
                          </a:prstGeom>
                          <a:noFill/>
                          <a:ln w="9525">
                            <a:noFill/>
                            <a:miter lim="800000"/>
                            <a:headEnd/>
                            <a:tailEnd/>
                          </a:ln>
                        </pic:spPr>
                      </pic:pic>
                    </a:graphicData>
                  </a:graphic>
                </wp:inline>
              </w:drawing>
            </w:r>
          </w:p>
          <w:p w:rsidR="003C4484" w:rsidRDefault="003C4484" w:rsidP="00E757B1">
            <w:pPr>
              <w:pStyle w:val="PFCBulletedText2"/>
              <w:ind w:left="0" w:firstLine="0"/>
              <w:jc w:val="left"/>
              <w:rPr>
                <w:b/>
                <w:color w:val="141313" w:themeColor="text1"/>
                <w:sz w:val="18"/>
                <w:szCs w:val="18"/>
                <w:lang w:val="en-GB"/>
              </w:rPr>
            </w:pPr>
            <w:r>
              <w:rPr>
                <w:b/>
                <w:sz w:val="18"/>
                <w:szCs w:val="18"/>
              </w:rPr>
              <w:t xml:space="preserve">Figure </w:t>
            </w:r>
            <w:r w:rsidR="004C2905">
              <w:rPr>
                <w:b/>
                <w:sz w:val="18"/>
                <w:szCs w:val="18"/>
              </w:rPr>
              <w:t>5.</w:t>
            </w:r>
            <w:r>
              <w:rPr>
                <w:b/>
                <w:color w:val="141313" w:themeColor="text1"/>
                <w:sz w:val="18"/>
                <w:szCs w:val="18"/>
              </w:rPr>
              <w:t>4</w:t>
            </w:r>
            <w:r w:rsidRPr="00AD0BCD">
              <w:rPr>
                <w:b/>
                <w:color w:val="141313" w:themeColor="text1"/>
                <w:sz w:val="18"/>
                <w:szCs w:val="18"/>
              </w:rPr>
              <w:t xml:space="preserve">: </w:t>
            </w:r>
            <w:r>
              <w:rPr>
                <w:b/>
                <w:color w:val="141313" w:themeColor="text1"/>
                <w:sz w:val="18"/>
                <w:szCs w:val="18"/>
              </w:rPr>
              <w:t xml:space="preserve">Annual </w:t>
            </w:r>
            <w:r w:rsidRPr="00EC27DD">
              <w:rPr>
                <w:b/>
                <w:color w:val="141313" w:themeColor="text1"/>
                <w:sz w:val="18"/>
                <w:szCs w:val="18"/>
                <w:lang w:val="en-GB"/>
              </w:rPr>
              <w:t>Send-out Capacity of LNG Terminals in 2012 and 2017</w:t>
            </w:r>
          </w:p>
          <w:p w:rsidR="003C4484" w:rsidRPr="002055A2" w:rsidRDefault="003C4484"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3C4484" w:rsidRPr="009C3813" w:rsidRDefault="003C4484" w:rsidP="00C401C6">
      <w:pPr>
        <w:pStyle w:val="Titre2"/>
        <w:ind w:left="180"/>
        <w:rPr>
          <w:lang w:val="en-GB"/>
        </w:rPr>
      </w:pPr>
      <w:bookmarkStart w:id="25" w:name="_Toc360628246"/>
      <w:r>
        <w:rPr>
          <w:lang w:val="en-GB"/>
        </w:rPr>
        <w:t xml:space="preserve">5.3 </w:t>
      </w:r>
      <w:r w:rsidRPr="006B6EA3">
        <w:rPr>
          <w:lang w:val="en-GB"/>
        </w:rPr>
        <w:t>RECEIVING TERMINAL CAPACITY AND UTILIZATION BY COUNTRY</w:t>
      </w:r>
      <w:bookmarkEnd w:id="25"/>
    </w:p>
    <w:p w:rsidR="003C4484" w:rsidRPr="009C3813" w:rsidRDefault="003C4484" w:rsidP="003C4484">
      <w:pPr>
        <w:spacing w:line="252" w:lineRule="auto"/>
        <w:ind w:left="180"/>
        <w:jc w:val="both"/>
        <w:rPr>
          <w:b/>
          <w:color w:val="215A99"/>
          <w:sz w:val="18"/>
          <w:lang w:val="en-GB"/>
        </w:rPr>
      </w:pPr>
    </w:p>
    <w:p w:rsidR="003C4484" w:rsidRPr="00F77E39" w:rsidRDefault="003C4484" w:rsidP="003C4484">
      <w:pPr>
        <w:spacing w:line="252" w:lineRule="auto"/>
        <w:ind w:left="180"/>
        <w:jc w:val="both"/>
        <w:rPr>
          <w:color w:val="141313" w:themeColor="text1"/>
          <w:sz w:val="18"/>
          <w:lang w:val="en-GB"/>
        </w:rPr>
      </w:pPr>
      <w:r w:rsidRPr="00F77E39">
        <w:rPr>
          <w:color w:val="141313" w:themeColor="text1"/>
          <w:sz w:val="18"/>
          <w:lang w:val="en-GB"/>
        </w:rPr>
        <w:t>Although the three biggest LNG regasification capacity holders (Japan, the United States, and Korea) held well over half of global regasification capacity at the end of 2012, their share has declined since 2009, dropping from 67% to 62%.  Including the United Kingdom and Spain, the top five regasification capacity markets held 74% of</w:t>
      </w:r>
    </w:p>
    <w:tbl>
      <w:tblPr>
        <w:tblpPr w:leftFromText="180" w:rightFromText="180" w:vertAnchor="text" w:horzAnchor="margin" w:tblpY="514"/>
        <w:tblW w:w="4975" w:type="dxa"/>
        <w:tblLayout w:type="fixed"/>
        <w:tblLook w:val="01E0"/>
      </w:tblPr>
      <w:tblGrid>
        <w:gridCol w:w="4975"/>
      </w:tblGrid>
      <w:tr w:rsidR="003C4484" w:rsidRPr="00A918C1" w:rsidTr="00E757B1">
        <w:trPr>
          <w:trHeight w:val="2938"/>
        </w:trPr>
        <w:tc>
          <w:tcPr>
            <w:tcW w:w="4975" w:type="dxa"/>
          </w:tcPr>
          <w:p w:rsidR="003C4484" w:rsidRDefault="003C4484" w:rsidP="00E757B1">
            <w:pPr>
              <w:pStyle w:val="PFCBulletedText2"/>
              <w:spacing w:before="120" w:after="0"/>
              <w:ind w:left="0" w:firstLine="0"/>
              <w:jc w:val="left"/>
              <w:rPr>
                <w:noProof/>
                <w:lang w:eastAsia="en-US"/>
              </w:rPr>
            </w:pPr>
            <w:r>
              <w:rPr>
                <w:noProof/>
                <w:lang w:val="fr-FR" w:eastAsia="zh-CN"/>
              </w:rPr>
              <w:lastRenderedPageBreak/>
              <w:drawing>
                <wp:inline distT="0" distB="0" distL="0" distR="0">
                  <wp:extent cx="3019425" cy="2182495"/>
                  <wp:effectExtent l="19050" t="0" r="9525" b="0"/>
                  <wp:docPr id="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srcRect/>
                          <a:stretch>
                            <a:fillRect/>
                          </a:stretch>
                        </pic:blipFill>
                        <pic:spPr bwMode="auto">
                          <a:xfrm>
                            <a:off x="0" y="0"/>
                            <a:ext cx="3019425" cy="2182495"/>
                          </a:xfrm>
                          <a:prstGeom prst="rect">
                            <a:avLst/>
                          </a:prstGeom>
                          <a:noFill/>
                          <a:ln w="9525">
                            <a:noFill/>
                            <a:miter lim="800000"/>
                            <a:headEnd/>
                            <a:tailEnd/>
                          </a:ln>
                        </pic:spPr>
                      </pic:pic>
                    </a:graphicData>
                  </a:graphic>
                </wp:inline>
              </w:drawing>
            </w:r>
          </w:p>
          <w:p w:rsidR="003C4484" w:rsidRPr="0072066B" w:rsidRDefault="003C4484" w:rsidP="00E757B1">
            <w:pPr>
              <w:pStyle w:val="PFCBulletedText2"/>
              <w:ind w:left="0" w:firstLine="0"/>
              <w:jc w:val="left"/>
              <w:rPr>
                <w:b/>
                <w:color w:val="141313" w:themeColor="text1"/>
                <w:sz w:val="18"/>
                <w:szCs w:val="18"/>
              </w:rPr>
            </w:pPr>
            <w:r>
              <w:rPr>
                <w:b/>
                <w:sz w:val="18"/>
                <w:szCs w:val="18"/>
              </w:rPr>
              <w:t xml:space="preserve">Figure </w:t>
            </w:r>
            <w:r w:rsidR="004C2905">
              <w:rPr>
                <w:b/>
                <w:sz w:val="18"/>
                <w:szCs w:val="18"/>
              </w:rPr>
              <w:t>5.</w:t>
            </w:r>
            <w:r>
              <w:rPr>
                <w:b/>
                <w:color w:val="141313" w:themeColor="text1"/>
                <w:sz w:val="18"/>
                <w:szCs w:val="18"/>
              </w:rPr>
              <w:t>5</w:t>
            </w:r>
            <w:r w:rsidRPr="00AD0BCD">
              <w:rPr>
                <w:b/>
                <w:color w:val="141313" w:themeColor="text1"/>
                <w:sz w:val="18"/>
                <w:szCs w:val="18"/>
              </w:rPr>
              <w:t xml:space="preserve">:  </w:t>
            </w:r>
            <w:r w:rsidRPr="00AD0BCD">
              <w:rPr>
                <w:rFonts w:eastAsia="SimSun"/>
                <w:b/>
                <w:smallCaps/>
                <w:color w:val="141313" w:themeColor="text1"/>
                <w:lang w:val="en-GB"/>
              </w:rPr>
              <w:t xml:space="preserve"> </w:t>
            </w:r>
            <w:r w:rsidRPr="0072066B">
              <w:rPr>
                <w:b/>
                <w:color w:val="141313" w:themeColor="text1"/>
                <w:sz w:val="18"/>
                <w:szCs w:val="18"/>
                <w:lang w:val="en-GB"/>
              </w:rPr>
              <w:t xml:space="preserve">LNG Regasification Capacity by Country: 2012 Capacity (MTPA) and Utilization </w:t>
            </w:r>
            <w:r w:rsidRPr="0072066B">
              <w:rPr>
                <w:b/>
                <w:color w:val="141313" w:themeColor="text1"/>
                <w:sz w:val="18"/>
                <w:szCs w:val="18"/>
              </w:rPr>
              <w:t xml:space="preserve">     </w:t>
            </w:r>
          </w:p>
          <w:p w:rsidR="003C4484" w:rsidRDefault="003C4484" w:rsidP="00E757B1">
            <w:pPr>
              <w:pStyle w:val="PFCBulletedText2"/>
              <w:ind w:left="0" w:firstLine="0"/>
              <w:jc w:val="left"/>
              <w:rPr>
                <w:i/>
                <w:sz w:val="16"/>
                <w:szCs w:val="16"/>
              </w:rPr>
            </w:pPr>
            <w:r>
              <w:rPr>
                <w:i/>
                <w:sz w:val="16"/>
                <w:szCs w:val="16"/>
              </w:rPr>
              <w:t>Note: “</w:t>
            </w:r>
            <w:r w:rsidRPr="007B017B">
              <w:rPr>
                <w:i/>
                <w:sz w:val="16"/>
                <w:szCs w:val="16"/>
              </w:rPr>
              <w:t xml:space="preserve">Smaller Markets” includes capacity in Kuwait, Greece, Indonesia, the United Arab Emirates, Puerto Rico, Sweden and Norway.  Each of these countries has less than 4 </w:t>
            </w:r>
            <w:r>
              <w:rPr>
                <w:i/>
                <w:sz w:val="16"/>
                <w:szCs w:val="16"/>
              </w:rPr>
              <w:t>MTPA</w:t>
            </w:r>
            <w:r w:rsidRPr="007B017B">
              <w:rPr>
                <w:i/>
                <w:sz w:val="16"/>
                <w:szCs w:val="16"/>
              </w:rPr>
              <w:t xml:space="preserve"> of regasification capacity.</w:t>
            </w:r>
          </w:p>
          <w:p w:rsidR="003C4484" w:rsidRPr="002055A2" w:rsidRDefault="003C4484"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p>
        </w:tc>
      </w:tr>
    </w:tbl>
    <w:p w:rsidR="003C4484" w:rsidRDefault="003C4484" w:rsidP="003C4484">
      <w:pPr>
        <w:spacing w:line="252" w:lineRule="auto"/>
        <w:ind w:left="180"/>
        <w:jc w:val="both"/>
        <w:rPr>
          <w:sz w:val="18"/>
          <w:lang w:val="en-GB"/>
        </w:rPr>
      </w:pPr>
      <w:proofErr w:type="gramStart"/>
      <w:r w:rsidRPr="006B6EA3">
        <w:rPr>
          <w:sz w:val="18"/>
          <w:lang w:val="en-GB"/>
        </w:rPr>
        <w:lastRenderedPageBreak/>
        <w:t>global</w:t>
      </w:r>
      <w:proofErr w:type="gramEnd"/>
      <w:r w:rsidRPr="006B6EA3">
        <w:rPr>
          <w:sz w:val="18"/>
          <w:lang w:val="en-GB"/>
        </w:rPr>
        <w:t xml:space="preserve"> capacity at the end of 2012 (down from </w:t>
      </w:r>
      <w:r>
        <w:rPr>
          <w:sz w:val="18"/>
          <w:lang w:val="en-GB"/>
        </w:rPr>
        <w:t>79</w:t>
      </w:r>
      <w:r w:rsidRPr="006B6EA3">
        <w:rPr>
          <w:sz w:val="18"/>
          <w:lang w:val="en-GB"/>
        </w:rPr>
        <w:t>% in 200</w:t>
      </w:r>
      <w:r>
        <w:rPr>
          <w:sz w:val="18"/>
          <w:lang w:val="en-GB"/>
        </w:rPr>
        <w:t>9) with the remaining 26</w:t>
      </w:r>
      <w:r w:rsidRPr="006B6EA3">
        <w:rPr>
          <w:sz w:val="18"/>
          <w:lang w:val="en-GB"/>
        </w:rPr>
        <w:t>% located in 23 countries.</w:t>
      </w:r>
    </w:p>
    <w:p w:rsidR="003C4484" w:rsidRDefault="003C4484" w:rsidP="003C4484">
      <w:pPr>
        <w:spacing w:line="252" w:lineRule="auto"/>
        <w:ind w:left="180"/>
        <w:jc w:val="both"/>
        <w:rPr>
          <w:sz w:val="18"/>
          <w:lang w:val="en-GB"/>
        </w:rPr>
      </w:pPr>
    </w:p>
    <w:tbl>
      <w:tblPr>
        <w:tblpPr w:leftFromText="180" w:rightFromText="180" w:vertAnchor="text" w:horzAnchor="margin" w:tblpY="2919"/>
        <w:tblW w:w="10394" w:type="dxa"/>
        <w:tblLayout w:type="fixed"/>
        <w:tblLook w:val="01E0"/>
      </w:tblPr>
      <w:tblGrid>
        <w:gridCol w:w="10394"/>
      </w:tblGrid>
      <w:tr w:rsidR="003C4484" w:rsidRPr="00A918C1" w:rsidTr="00B75D99">
        <w:trPr>
          <w:trHeight w:val="2953"/>
        </w:trPr>
        <w:tc>
          <w:tcPr>
            <w:tcW w:w="10394" w:type="dxa"/>
          </w:tcPr>
          <w:p w:rsidR="003C4484" w:rsidRDefault="003C4484" w:rsidP="00B75D99">
            <w:pPr>
              <w:pStyle w:val="PFCBulletedText2"/>
              <w:spacing w:before="120" w:after="0"/>
              <w:ind w:left="0" w:firstLine="0"/>
              <w:jc w:val="left"/>
            </w:pPr>
            <w:r>
              <w:rPr>
                <w:noProof/>
                <w:lang w:val="fr-FR" w:eastAsia="zh-CN"/>
              </w:rPr>
              <w:drawing>
                <wp:inline distT="0" distB="0" distL="0" distR="0">
                  <wp:extent cx="6343650" cy="2533650"/>
                  <wp:effectExtent l="19050" t="0" r="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6343650" cy="2533650"/>
                          </a:xfrm>
                          <a:prstGeom prst="rect">
                            <a:avLst/>
                          </a:prstGeom>
                          <a:noFill/>
                          <a:ln w="9525">
                            <a:noFill/>
                            <a:miter lim="800000"/>
                            <a:headEnd/>
                            <a:tailEnd/>
                          </a:ln>
                        </pic:spPr>
                      </pic:pic>
                    </a:graphicData>
                  </a:graphic>
                </wp:inline>
              </w:drawing>
            </w:r>
          </w:p>
          <w:p w:rsidR="003C4484" w:rsidRPr="009C3813" w:rsidRDefault="003C4484" w:rsidP="00B75D99">
            <w:pPr>
              <w:pStyle w:val="PFCBulletedText2"/>
              <w:spacing w:before="120" w:after="0"/>
              <w:ind w:left="0" w:firstLine="0"/>
              <w:jc w:val="left"/>
              <w:rPr>
                <w:b/>
                <w:sz w:val="18"/>
                <w:szCs w:val="18"/>
              </w:rPr>
            </w:pPr>
            <w:r>
              <w:rPr>
                <w:b/>
                <w:sz w:val="18"/>
                <w:szCs w:val="18"/>
              </w:rPr>
              <w:t xml:space="preserve">Figure </w:t>
            </w:r>
            <w:r w:rsidR="004C2905">
              <w:rPr>
                <w:b/>
                <w:sz w:val="18"/>
                <w:szCs w:val="18"/>
              </w:rPr>
              <w:t>5.</w:t>
            </w:r>
            <w:r>
              <w:rPr>
                <w:b/>
                <w:sz w:val="18"/>
                <w:szCs w:val="18"/>
              </w:rPr>
              <w:t>6</w:t>
            </w:r>
            <w:r w:rsidRPr="009C3813">
              <w:rPr>
                <w:b/>
                <w:sz w:val="18"/>
                <w:szCs w:val="18"/>
              </w:rPr>
              <w:t xml:space="preserve">: </w:t>
            </w:r>
            <w:r w:rsidRPr="00AD0BCD">
              <w:rPr>
                <w:rFonts w:eastAsia="SimSun"/>
                <w:b/>
                <w:smallCaps/>
                <w:lang w:val="en-GB"/>
              </w:rPr>
              <w:t xml:space="preserve"> </w:t>
            </w:r>
            <w:r>
              <w:rPr>
                <w:b/>
                <w:color w:val="141313" w:themeColor="text1"/>
                <w:sz w:val="18"/>
                <w:szCs w:val="18"/>
                <w:lang w:val="en-GB"/>
              </w:rPr>
              <w:t>Receiving Terminal Import Capacity by Country in 2012 and 2017</w:t>
            </w:r>
          </w:p>
          <w:p w:rsidR="003C4484" w:rsidRPr="00494081" w:rsidRDefault="003C4484" w:rsidP="00B75D99">
            <w:pPr>
              <w:pStyle w:val="PFCBulletedText2"/>
              <w:ind w:left="0" w:firstLine="0"/>
              <w:jc w:val="left"/>
              <w:rPr>
                <w:sz w:val="16"/>
                <w:szCs w:val="16"/>
              </w:rPr>
            </w:pPr>
            <w:r w:rsidRPr="0024517D">
              <w:rPr>
                <w:i/>
                <w:sz w:val="16"/>
                <w:szCs w:val="16"/>
              </w:rPr>
              <w:t xml:space="preserve">Source: </w:t>
            </w:r>
            <w:r>
              <w:rPr>
                <w:i/>
                <w:sz w:val="16"/>
                <w:szCs w:val="16"/>
              </w:rPr>
              <w:t>PFC Energy Global LNG Service, Company Announcements</w:t>
            </w:r>
          </w:p>
        </w:tc>
      </w:tr>
    </w:tbl>
    <w:p w:rsidR="003C4484" w:rsidRPr="00F926CA" w:rsidRDefault="003C4484" w:rsidP="003C4484">
      <w:pPr>
        <w:spacing w:line="252" w:lineRule="auto"/>
        <w:ind w:left="180"/>
        <w:jc w:val="both"/>
        <w:rPr>
          <w:sz w:val="18"/>
          <w:lang w:val="en-GB"/>
        </w:rPr>
      </w:pPr>
      <w:r w:rsidRPr="00F926CA">
        <w:rPr>
          <w:sz w:val="18"/>
          <w:lang w:val="en-GB"/>
        </w:rPr>
        <w:t xml:space="preserve">China has more than quadrupled its capacity in the past five years, growing from 0.7% to 2.9% of global LNG receiving capacity. The country is still planning to greatly expand capacity to meet its growing LNG demand.  In the past, Chinese operators would only </w:t>
      </w:r>
      <w:r w:rsidR="00FF514B" w:rsidRPr="00F926CA">
        <w:rPr>
          <w:sz w:val="18"/>
          <w:lang w:val="en-GB"/>
        </w:rPr>
        <w:t xml:space="preserve">be allowed to </w:t>
      </w:r>
      <w:r w:rsidRPr="00F926CA">
        <w:rPr>
          <w:sz w:val="18"/>
          <w:lang w:val="en-GB"/>
        </w:rPr>
        <w:t xml:space="preserve">build regasification terminals if there was a long-term supply contract in place.  Now, companies have started to build terminals without such contracts, as they </w:t>
      </w:r>
      <w:r w:rsidR="00FF514B" w:rsidRPr="00F926CA">
        <w:rPr>
          <w:sz w:val="18"/>
          <w:lang w:val="en-GB"/>
        </w:rPr>
        <w:t>may partially</w:t>
      </w:r>
      <w:r w:rsidRPr="00F926CA">
        <w:rPr>
          <w:sz w:val="18"/>
          <w:lang w:val="en-GB"/>
        </w:rPr>
        <w:t xml:space="preserve"> rely on spot or short-term supply. </w:t>
      </w:r>
    </w:p>
    <w:p w:rsidR="003C4484" w:rsidRPr="003F331E" w:rsidRDefault="003C4484" w:rsidP="003C4484">
      <w:pPr>
        <w:spacing w:line="252" w:lineRule="auto"/>
        <w:ind w:left="180"/>
        <w:jc w:val="both"/>
        <w:rPr>
          <w:color w:val="FF0000"/>
          <w:sz w:val="18"/>
          <w:lang w:val="en-GB"/>
        </w:rPr>
      </w:pPr>
    </w:p>
    <w:p w:rsidR="003C4484" w:rsidRDefault="003C4484" w:rsidP="003C4484">
      <w:pPr>
        <w:spacing w:line="252" w:lineRule="auto"/>
        <w:ind w:left="180"/>
        <w:jc w:val="both"/>
        <w:rPr>
          <w:sz w:val="18"/>
          <w:lang w:val="en-GB"/>
        </w:rPr>
      </w:pPr>
      <w:r w:rsidRPr="00345A45">
        <w:rPr>
          <w:sz w:val="18"/>
          <w:lang w:val="en-GB"/>
        </w:rPr>
        <w:t>Import capacity utilization is high in Asia,</w:t>
      </w:r>
      <w:r w:rsidRPr="007B017B">
        <w:rPr>
          <w:sz w:val="18"/>
          <w:lang w:val="en-GB"/>
        </w:rPr>
        <w:t xml:space="preserve"> where several countries have increased LNG imports in response to the loss or decline of nuclear power generating capacity, </w:t>
      </w:r>
      <w:r w:rsidRPr="007B017B">
        <w:rPr>
          <w:sz w:val="18"/>
          <w:lang w:val="en-GB"/>
        </w:rPr>
        <w:lastRenderedPageBreak/>
        <w:t>though utilization in Japan is restricted by berthing constraints.</w:t>
      </w:r>
      <w:r>
        <w:rPr>
          <w:sz w:val="18"/>
          <w:lang w:val="en-GB"/>
        </w:rPr>
        <w:t xml:space="preserve">  </w:t>
      </w:r>
      <w:r w:rsidRPr="007B017B">
        <w:rPr>
          <w:sz w:val="18"/>
          <w:lang w:val="en-GB"/>
        </w:rPr>
        <w:t>In contrast, India operated above capacity as it faced gas supply shortages</w:t>
      </w:r>
      <w:r>
        <w:rPr>
          <w:sz w:val="18"/>
          <w:lang w:val="en-GB"/>
        </w:rPr>
        <w:t xml:space="preserve"> in 2012</w:t>
      </w:r>
      <w:r w:rsidRPr="007B017B">
        <w:rPr>
          <w:sz w:val="18"/>
          <w:lang w:val="en-GB"/>
        </w:rPr>
        <w:t xml:space="preserve">, illustrating the need for more capacity. </w:t>
      </w:r>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7B017B">
        <w:rPr>
          <w:sz w:val="18"/>
          <w:lang w:val="en-GB"/>
        </w:rPr>
        <w:t xml:space="preserve">Terminals in the United States have been vastly underutilized (3% in 2012) due to soaring domestic production. Many terminal </w:t>
      </w:r>
      <w:r w:rsidRPr="0072066B">
        <w:rPr>
          <w:color w:val="141313" w:themeColor="text1"/>
          <w:sz w:val="18"/>
          <w:lang w:val="en-GB"/>
        </w:rPr>
        <w:t xml:space="preserve">operators are now considering adding liquefaction capacity to take advantage of the shale gas boom. Low North American gas prices resulting from high US </w:t>
      </w:r>
      <w:r w:rsidRPr="00F926CA">
        <w:rPr>
          <w:sz w:val="18"/>
          <w:lang w:val="en-GB"/>
        </w:rPr>
        <w:t>production have also decreased the economic rationale for LNG imports in Canada and Mexico</w:t>
      </w:r>
      <w:r w:rsidR="00FF514B" w:rsidRPr="00F926CA">
        <w:rPr>
          <w:sz w:val="18"/>
          <w:lang w:val="en-GB"/>
        </w:rPr>
        <w:t xml:space="preserve"> (although certain parts of the latter are supply constrained and require LNG imports),</w:t>
      </w:r>
      <w:r w:rsidRPr="00F926CA">
        <w:rPr>
          <w:sz w:val="18"/>
          <w:lang w:val="en-GB"/>
        </w:rPr>
        <w:t xml:space="preserve"> which experienced low utilization rates as well. In Europe, where liquid markets</w:t>
      </w:r>
      <w:r w:rsidRPr="0072066B">
        <w:rPr>
          <w:color w:val="141313" w:themeColor="text1"/>
          <w:sz w:val="18"/>
          <w:lang w:val="en-GB"/>
        </w:rPr>
        <w:t xml:space="preserve"> allow for the option to procure either LNG or piped gas depending on relative prices, regasification utilization rates fell as several countries turned to piped gas. Further, gas-fired power faced increased price competition from coal and subsidized renewable power</w:t>
      </w:r>
      <w:r w:rsidRPr="007B017B">
        <w:rPr>
          <w:sz w:val="18"/>
          <w:lang w:val="en-GB"/>
        </w:rPr>
        <w:t xml:space="preserve"> generation.</w:t>
      </w:r>
    </w:p>
    <w:p w:rsidR="003C4484" w:rsidRPr="009C3813" w:rsidRDefault="003C4484" w:rsidP="00C401C6">
      <w:pPr>
        <w:pStyle w:val="Titre2"/>
        <w:ind w:firstLine="180"/>
        <w:rPr>
          <w:lang w:val="en-GB"/>
        </w:rPr>
      </w:pPr>
      <w:bookmarkStart w:id="26" w:name="_Toc360628247"/>
      <w:r>
        <w:rPr>
          <w:lang w:val="en-GB"/>
        </w:rPr>
        <w:t xml:space="preserve">5.4 </w:t>
      </w:r>
      <w:r w:rsidRPr="006B6EA3">
        <w:rPr>
          <w:lang w:val="en-GB"/>
        </w:rPr>
        <w:t>RECEIVING TERMINAL</w:t>
      </w:r>
      <w:r>
        <w:rPr>
          <w:lang w:val="en-GB"/>
        </w:rPr>
        <w:t>S BY REGION</w:t>
      </w:r>
      <w:bookmarkEnd w:id="26"/>
      <w:r w:rsidRPr="006B6EA3">
        <w:rPr>
          <w:lang w:val="en-GB"/>
        </w:rPr>
        <w:t xml:space="preserve"> </w:t>
      </w:r>
    </w:p>
    <w:p w:rsidR="003C4484" w:rsidRPr="00564DBB"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C10632">
        <w:rPr>
          <w:sz w:val="18"/>
          <w:lang w:val="en-GB"/>
        </w:rPr>
        <w:t xml:space="preserve">Historically, East Asia has held the majority (~70-80%) of the world’s regasification capacity, with Europe and, to a lesser extent, North America making up the remainder.  However, East Asia’s share has been declining dramatically since the mid-2000s as </w:t>
      </w:r>
      <w:r>
        <w:rPr>
          <w:sz w:val="18"/>
          <w:lang w:val="en-GB"/>
        </w:rPr>
        <w:t>the United States</w:t>
      </w:r>
      <w:r w:rsidRPr="00C10632">
        <w:rPr>
          <w:sz w:val="18"/>
          <w:lang w:val="en-GB"/>
        </w:rPr>
        <w:t xml:space="preserve"> massively built up its LNG import capacity. </w:t>
      </w:r>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C10632">
        <w:rPr>
          <w:sz w:val="18"/>
          <w:lang w:val="en-GB"/>
        </w:rPr>
        <w:t xml:space="preserve">The emergence of new importing countries later in the decade has also led to a diversification of market shares, with additions from South America, South &amp; Southeast Asia, and the Middle East. While LNG capacity is expected to stagnate along with demand in traditional North American and European markets, East Asia will continue to experience growth, with planned capacity additions in Japan, Korea, and especially China. Emerging markets are also expected to continue to grow, with a major expansion of regasification capacity expected from </w:t>
      </w:r>
      <w:r w:rsidRPr="00C10632">
        <w:rPr>
          <w:sz w:val="18"/>
          <w:lang w:val="en-GB"/>
        </w:rPr>
        <w:lastRenderedPageBreak/>
        <w:t>South and Southeast Asia, and to a lesser extent South America and the Middle East.</w:t>
      </w:r>
    </w:p>
    <w:tbl>
      <w:tblPr>
        <w:tblpPr w:leftFromText="180" w:rightFromText="180" w:vertAnchor="text" w:horzAnchor="margin" w:tblpY="108"/>
        <w:tblW w:w="4975" w:type="dxa"/>
        <w:tblLayout w:type="fixed"/>
        <w:tblLook w:val="01E0"/>
      </w:tblPr>
      <w:tblGrid>
        <w:gridCol w:w="4975"/>
      </w:tblGrid>
      <w:tr w:rsidR="003C4484" w:rsidRPr="00A918C1" w:rsidTr="00E757B1">
        <w:trPr>
          <w:trHeight w:val="2938"/>
        </w:trPr>
        <w:tc>
          <w:tcPr>
            <w:tcW w:w="4975" w:type="dxa"/>
          </w:tcPr>
          <w:p w:rsidR="003C4484" w:rsidRDefault="003C4484" w:rsidP="00E757B1">
            <w:pPr>
              <w:pStyle w:val="PFCBulletedText2"/>
              <w:spacing w:before="120" w:after="0"/>
              <w:ind w:left="0" w:firstLine="0"/>
              <w:jc w:val="left"/>
              <w:rPr>
                <w:noProof/>
                <w:lang w:eastAsia="en-US"/>
              </w:rPr>
            </w:pPr>
            <w:r>
              <w:rPr>
                <w:noProof/>
                <w:lang w:val="fr-FR" w:eastAsia="zh-CN"/>
              </w:rPr>
              <w:drawing>
                <wp:inline distT="0" distB="0" distL="0" distR="0">
                  <wp:extent cx="3019425" cy="2001520"/>
                  <wp:effectExtent l="19050" t="0" r="9525" b="0"/>
                  <wp:docPr id="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srcRect/>
                          <a:stretch>
                            <a:fillRect/>
                          </a:stretch>
                        </pic:blipFill>
                        <pic:spPr bwMode="auto">
                          <a:xfrm>
                            <a:off x="0" y="0"/>
                            <a:ext cx="3019425" cy="2001520"/>
                          </a:xfrm>
                          <a:prstGeom prst="rect">
                            <a:avLst/>
                          </a:prstGeom>
                          <a:noFill/>
                          <a:ln w="9525">
                            <a:noFill/>
                            <a:miter lim="800000"/>
                            <a:headEnd/>
                            <a:tailEnd/>
                          </a:ln>
                        </pic:spPr>
                      </pic:pic>
                    </a:graphicData>
                  </a:graphic>
                </wp:inline>
              </w:drawing>
            </w:r>
          </w:p>
          <w:p w:rsidR="003C4484" w:rsidRDefault="003C4484" w:rsidP="00E757B1">
            <w:pPr>
              <w:pStyle w:val="PFCBulletedText2"/>
              <w:ind w:left="0" w:firstLine="0"/>
              <w:jc w:val="left"/>
              <w:rPr>
                <w:b/>
                <w:sz w:val="18"/>
                <w:szCs w:val="18"/>
              </w:rPr>
            </w:pPr>
            <w:r>
              <w:rPr>
                <w:b/>
                <w:sz w:val="18"/>
                <w:szCs w:val="18"/>
              </w:rPr>
              <w:t xml:space="preserve">Figure </w:t>
            </w:r>
            <w:r w:rsidR="004C2905">
              <w:rPr>
                <w:b/>
                <w:sz w:val="18"/>
                <w:szCs w:val="18"/>
              </w:rPr>
              <w:t>5.</w:t>
            </w:r>
            <w:r>
              <w:rPr>
                <w:b/>
                <w:sz w:val="18"/>
                <w:szCs w:val="18"/>
              </w:rPr>
              <w:t>7</w:t>
            </w:r>
            <w:r w:rsidRPr="00AD0BCD">
              <w:rPr>
                <w:b/>
                <w:color w:val="141313" w:themeColor="text1"/>
                <w:sz w:val="18"/>
                <w:szCs w:val="18"/>
              </w:rPr>
              <w:t xml:space="preserve">:  </w:t>
            </w:r>
            <w:r w:rsidRPr="00AD0BCD">
              <w:rPr>
                <w:rFonts w:eastAsia="SimSun"/>
                <w:b/>
                <w:smallCaps/>
                <w:color w:val="141313" w:themeColor="text1"/>
                <w:lang w:val="en-GB"/>
              </w:rPr>
              <w:t xml:space="preserve"> </w:t>
            </w:r>
            <w:r w:rsidRPr="00C10632">
              <w:rPr>
                <w:b/>
                <w:bCs/>
                <w:color w:val="141313" w:themeColor="text1"/>
                <w:sz w:val="18"/>
                <w:szCs w:val="18"/>
                <w:lang w:val="en-GB"/>
              </w:rPr>
              <w:t>Regasification Capacity by Region, % Share of Total</w:t>
            </w:r>
            <w:r w:rsidRPr="00C10632">
              <w:rPr>
                <w:b/>
                <w:color w:val="141313" w:themeColor="text1"/>
                <w:sz w:val="18"/>
                <w:szCs w:val="18"/>
              </w:rPr>
              <w:t xml:space="preserve"> </w:t>
            </w:r>
            <w:r>
              <w:rPr>
                <w:b/>
                <w:sz w:val="18"/>
                <w:szCs w:val="18"/>
              </w:rPr>
              <w:t xml:space="preserve">  </w:t>
            </w:r>
          </w:p>
          <w:p w:rsidR="003C4484" w:rsidRPr="002055A2" w:rsidRDefault="003C4484"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3C4484" w:rsidRDefault="00C401C6" w:rsidP="00C401C6">
      <w:pPr>
        <w:pStyle w:val="Titre2"/>
        <w:rPr>
          <w:lang w:val="en-GB"/>
        </w:rPr>
      </w:pPr>
      <w:r>
        <w:rPr>
          <w:lang w:val="en-GB"/>
        </w:rPr>
        <w:t xml:space="preserve">    </w:t>
      </w:r>
      <w:bookmarkStart w:id="27" w:name="_Toc360628248"/>
      <w:r w:rsidR="003C4484">
        <w:rPr>
          <w:lang w:val="en-GB"/>
        </w:rPr>
        <w:t xml:space="preserve">5.5 </w:t>
      </w:r>
      <w:r w:rsidR="003C4484" w:rsidRPr="00E07EB2">
        <w:rPr>
          <w:lang w:val="en-GB"/>
        </w:rPr>
        <w:t>RECEIVING TERMINAL LNG STORAGE CAPACITY</w:t>
      </w:r>
      <w:bookmarkEnd w:id="27"/>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72066B">
        <w:rPr>
          <w:color w:val="141313" w:themeColor="text1"/>
          <w:sz w:val="18"/>
          <w:lang w:val="en-GB"/>
        </w:rPr>
        <w:t xml:space="preserve">At the end of Q1 2013, the world’s regasification terminals had over 44 </w:t>
      </w:r>
      <w:proofErr w:type="spellStart"/>
      <w:r w:rsidRPr="0072066B">
        <w:rPr>
          <w:color w:val="141313" w:themeColor="text1"/>
          <w:sz w:val="18"/>
          <w:lang w:val="en-GB"/>
        </w:rPr>
        <w:t>mmcm</w:t>
      </w:r>
      <w:proofErr w:type="spellEnd"/>
      <w:r w:rsidRPr="0072066B">
        <w:rPr>
          <w:color w:val="141313" w:themeColor="text1"/>
          <w:sz w:val="18"/>
          <w:lang w:val="en-GB"/>
        </w:rPr>
        <w:t xml:space="preserve"> of combined LNG storage capacity.  For smaller markets, the size of a country’s LNG storage reflects regasification capacity fairly well. Larger markets are the general exception: the United States holds a much smaller (11%) share of total LNG storage compared</w:t>
      </w:r>
      <w:r w:rsidRPr="00F048C5">
        <w:rPr>
          <w:sz w:val="18"/>
          <w:lang w:val="en-GB"/>
        </w:rPr>
        <w:t xml:space="preserve"> to its share of the world’s regasification capacity (20%) due to the country’s large and well-connected non-LNG storage infrastructure. Conversely, Japan, where the gas market is highly dependent on LNG, holds a higher share (36%) of global LNG storage than regasification capacity (28%).  </w:t>
      </w:r>
    </w:p>
    <w:tbl>
      <w:tblPr>
        <w:tblpPr w:leftFromText="180" w:rightFromText="180" w:vertAnchor="text" w:horzAnchor="margin" w:tblpXSpec="right" w:tblpY="3325"/>
        <w:tblW w:w="4975" w:type="dxa"/>
        <w:tblLayout w:type="fixed"/>
        <w:tblLook w:val="01E0"/>
      </w:tblPr>
      <w:tblGrid>
        <w:gridCol w:w="4975"/>
      </w:tblGrid>
      <w:tr w:rsidR="00B75D99" w:rsidRPr="00A918C1" w:rsidTr="00B75D99">
        <w:trPr>
          <w:trHeight w:val="2938"/>
        </w:trPr>
        <w:tc>
          <w:tcPr>
            <w:tcW w:w="4975" w:type="dxa"/>
          </w:tcPr>
          <w:p w:rsidR="00B75D99" w:rsidRDefault="00B75D99" w:rsidP="00B75D99">
            <w:pPr>
              <w:pStyle w:val="PFCBulletedText2"/>
              <w:spacing w:before="120" w:after="0"/>
              <w:ind w:left="0" w:firstLine="0"/>
              <w:jc w:val="left"/>
              <w:rPr>
                <w:noProof/>
                <w:lang w:eastAsia="en-US"/>
              </w:rPr>
            </w:pPr>
            <w:r>
              <w:rPr>
                <w:noProof/>
                <w:lang w:val="fr-FR" w:eastAsia="zh-CN"/>
              </w:rPr>
              <w:drawing>
                <wp:inline distT="0" distB="0" distL="0" distR="0">
                  <wp:extent cx="3019425" cy="2362200"/>
                  <wp:effectExtent l="19050" t="0" r="9525"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3019425" cy="2362200"/>
                          </a:xfrm>
                          <a:prstGeom prst="rect">
                            <a:avLst/>
                          </a:prstGeom>
                          <a:noFill/>
                          <a:ln w="9525">
                            <a:noFill/>
                            <a:miter lim="800000"/>
                            <a:headEnd/>
                            <a:tailEnd/>
                          </a:ln>
                        </pic:spPr>
                      </pic:pic>
                    </a:graphicData>
                  </a:graphic>
                </wp:inline>
              </w:drawing>
            </w:r>
          </w:p>
          <w:p w:rsidR="00B75D99" w:rsidRDefault="00B75D99" w:rsidP="00B75D99">
            <w:pPr>
              <w:pStyle w:val="PFCBulletedText2"/>
              <w:ind w:left="0" w:firstLine="0"/>
              <w:jc w:val="left"/>
              <w:rPr>
                <w:b/>
                <w:bCs/>
                <w:color w:val="141313" w:themeColor="text1"/>
                <w:sz w:val="18"/>
                <w:szCs w:val="18"/>
                <w:lang w:val="en-GB"/>
              </w:rPr>
            </w:pPr>
            <w:r>
              <w:rPr>
                <w:b/>
                <w:sz w:val="18"/>
                <w:szCs w:val="18"/>
              </w:rPr>
              <w:t>Figure 5.8</w:t>
            </w:r>
            <w:r w:rsidRPr="00AD0BCD">
              <w:rPr>
                <w:b/>
                <w:color w:val="141313" w:themeColor="text1"/>
                <w:sz w:val="18"/>
                <w:szCs w:val="18"/>
              </w:rPr>
              <w:t xml:space="preserve">:  </w:t>
            </w:r>
            <w:r w:rsidRPr="00AD0BCD">
              <w:rPr>
                <w:rFonts w:eastAsia="SimSun"/>
                <w:b/>
                <w:smallCaps/>
                <w:color w:val="141313" w:themeColor="text1"/>
                <w:lang w:val="en-GB"/>
              </w:rPr>
              <w:t xml:space="preserve"> </w:t>
            </w:r>
            <w:r w:rsidRPr="00E07EB2">
              <w:rPr>
                <w:rFonts w:eastAsia="SimSun"/>
                <w:b/>
                <w:bCs/>
                <w:smallCaps/>
                <w:lang w:val="en-GB"/>
              </w:rPr>
              <w:t xml:space="preserve"> </w:t>
            </w:r>
            <w:r w:rsidRPr="00E07EB2">
              <w:rPr>
                <w:b/>
                <w:bCs/>
                <w:color w:val="141313" w:themeColor="text1"/>
                <w:sz w:val="18"/>
                <w:szCs w:val="18"/>
                <w:lang w:val="en-GB"/>
              </w:rPr>
              <w:t>LNG Storage Tank Capacity by</w:t>
            </w:r>
            <w:r>
              <w:rPr>
                <w:b/>
                <w:bCs/>
                <w:color w:val="141313" w:themeColor="text1"/>
                <w:sz w:val="18"/>
                <w:szCs w:val="18"/>
                <w:lang w:val="en-GB"/>
              </w:rPr>
              <w:t xml:space="preserve"> Country: Q2 2013 Capacity (</w:t>
            </w:r>
            <w:proofErr w:type="spellStart"/>
            <w:r>
              <w:rPr>
                <w:b/>
                <w:bCs/>
                <w:color w:val="141313" w:themeColor="text1"/>
                <w:sz w:val="18"/>
                <w:szCs w:val="18"/>
                <w:lang w:val="en-GB"/>
              </w:rPr>
              <w:t>mmcm</w:t>
            </w:r>
            <w:proofErr w:type="spellEnd"/>
            <w:r>
              <w:rPr>
                <w:b/>
                <w:bCs/>
                <w:color w:val="141313" w:themeColor="text1"/>
                <w:sz w:val="18"/>
                <w:szCs w:val="18"/>
                <w:lang w:val="en-GB"/>
              </w:rPr>
              <w:t>) and % of Total  as of Q2</w:t>
            </w:r>
            <w:r w:rsidRPr="00E07EB2">
              <w:rPr>
                <w:b/>
                <w:bCs/>
                <w:color w:val="141313" w:themeColor="text1"/>
                <w:sz w:val="18"/>
                <w:szCs w:val="18"/>
                <w:lang w:val="en-GB"/>
              </w:rPr>
              <w:t xml:space="preserve"> 2013</w:t>
            </w:r>
          </w:p>
          <w:p w:rsidR="00B75D99" w:rsidRPr="002055A2" w:rsidRDefault="00B75D99" w:rsidP="00B75D99">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3C4484" w:rsidRDefault="003C4484" w:rsidP="003C4484">
      <w:pPr>
        <w:spacing w:line="252" w:lineRule="auto"/>
        <w:ind w:left="180"/>
        <w:jc w:val="both"/>
        <w:rPr>
          <w:sz w:val="18"/>
          <w:lang w:val="en-GB"/>
        </w:rPr>
      </w:pPr>
    </w:p>
    <w:p w:rsidR="003C4484" w:rsidRPr="0072066B" w:rsidRDefault="003C4484" w:rsidP="003C4484">
      <w:pPr>
        <w:spacing w:line="252" w:lineRule="auto"/>
        <w:ind w:left="180"/>
        <w:jc w:val="both"/>
        <w:rPr>
          <w:color w:val="141313" w:themeColor="text1"/>
          <w:sz w:val="18"/>
          <w:lang w:val="en-GB"/>
        </w:rPr>
      </w:pPr>
      <w:r>
        <w:rPr>
          <w:sz w:val="18"/>
          <w:lang w:val="en-GB"/>
        </w:rPr>
        <w:t xml:space="preserve">In 2012, 80% of storage capacity was held in just six countries; Japan </w:t>
      </w:r>
      <w:r w:rsidRPr="0072066B">
        <w:rPr>
          <w:color w:val="141313" w:themeColor="text1"/>
          <w:sz w:val="18"/>
          <w:lang w:val="en-GB"/>
        </w:rPr>
        <w:t xml:space="preserve">and Korea made up over half of the total. China has recently joined the top tier of LNG storage capacity holders; the country brought 740 </w:t>
      </w:r>
      <w:proofErr w:type="spellStart"/>
      <w:r w:rsidRPr="0072066B">
        <w:rPr>
          <w:color w:val="141313" w:themeColor="text1"/>
          <w:sz w:val="18"/>
          <w:lang w:val="en-GB"/>
        </w:rPr>
        <w:t>mcm</w:t>
      </w:r>
      <w:proofErr w:type="spellEnd"/>
      <w:r w:rsidRPr="0072066B">
        <w:rPr>
          <w:color w:val="141313" w:themeColor="text1"/>
          <w:sz w:val="18"/>
          <w:lang w:val="en-GB"/>
        </w:rPr>
        <w:t xml:space="preserve"> of capacity </w:t>
      </w:r>
      <w:proofErr w:type="spellStart"/>
      <w:r w:rsidRPr="0072066B">
        <w:rPr>
          <w:color w:val="141313" w:themeColor="text1"/>
          <w:sz w:val="18"/>
          <w:lang w:val="en-GB"/>
        </w:rPr>
        <w:t>onstream</w:t>
      </w:r>
      <w:proofErr w:type="spellEnd"/>
      <w:r w:rsidRPr="0072066B">
        <w:rPr>
          <w:color w:val="141313" w:themeColor="text1"/>
          <w:sz w:val="18"/>
          <w:lang w:val="en-GB"/>
        </w:rPr>
        <w:t xml:space="preserve"> in 2011. More notably, China also has more than 3.3 </w:t>
      </w:r>
      <w:proofErr w:type="spellStart"/>
      <w:r w:rsidRPr="0072066B">
        <w:rPr>
          <w:color w:val="141313" w:themeColor="text1"/>
          <w:sz w:val="18"/>
          <w:lang w:val="en-GB"/>
        </w:rPr>
        <w:t>mmcm</w:t>
      </w:r>
      <w:proofErr w:type="spellEnd"/>
      <w:r w:rsidRPr="0072066B">
        <w:rPr>
          <w:color w:val="141313" w:themeColor="text1"/>
          <w:sz w:val="18"/>
          <w:lang w:val="en-GB"/>
        </w:rPr>
        <w:t xml:space="preserve"> of capacity under construction, which will </w:t>
      </w:r>
      <w:r w:rsidRPr="0072066B">
        <w:rPr>
          <w:color w:val="141313" w:themeColor="text1"/>
          <w:sz w:val="18"/>
          <w:lang w:val="en-GB"/>
        </w:rPr>
        <w:lastRenderedPageBreak/>
        <w:t xml:space="preserve">more than double its current LNG storage capacity when completed. </w:t>
      </w:r>
    </w:p>
    <w:p w:rsidR="003C4484" w:rsidRPr="007B017B" w:rsidRDefault="003C4484" w:rsidP="003C4484">
      <w:pPr>
        <w:spacing w:line="252" w:lineRule="auto"/>
        <w:ind w:left="180"/>
        <w:jc w:val="both"/>
        <w:rPr>
          <w:color w:val="80379B" w:themeColor="accent6"/>
          <w:sz w:val="18"/>
          <w:lang w:val="en-GB"/>
        </w:rPr>
      </w:pPr>
    </w:p>
    <w:p w:rsidR="003C4484" w:rsidRDefault="003C4484" w:rsidP="00C401C6">
      <w:pPr>
        <w:spacing w:line="252" w:lineRule="auto"/>
        <w:ind w:left="180"/>
        <w:jc w:val="both"/>
        <w:rPr>
          <w:sz w:val="18"/>
          <w:lang w:val="en-GB"/>
        </w:rPr>
      </w:pPr>
      <w:r w:rsidRPr="0072066B">
        <w:rPr>
          <w:color w:val="141313" w:themeColor="text1"/>
          <w:sz w:val="18"/>
          <w:lang w:val="en-GB"/>
        </w:rPr>
        <w:t>Storage capacity is highly correlated with regasification capacity in smaller terminals. On average, terminals in the Pacific Basin have more storage per MTPA of regasification capacity than terminals in the Atlantic Basin, as Atlantic Basin gas markets tend to have more storage facilities independent of LNG terminals (like salt caverns or depleted gas fields) than Pacific Basin</w:t>
      </w:r>
      <w:r w:rsidRPr="00E07EB2">
        <w:rPr>
          <w:sz w:val="18"/>
          <w:lang w:val="en-GB"/>
        </w:rPr>
        <w:t xml:space="preserve"> markets. As both regasification facilities in the Middle East are smaller floating facilities, they have low storage capacity.</w:t>
      </w:r>
    </w:p>
    <w:p w:rsidR="00B75D99" w:rsidRDefault="00B75D99" w:rsidP="00C401C6">
      <w:pPr>
        <w:spacing w:line="252" w:lineRule="auto"/>
        <w:ind w:left="180"/>
        <w:jc w:val="both"/>
        <w:rPr>
          <w:sz w:val="18"/>
          <w:lang w:val="en-GB"/>
        </w:rPr>
      </w:pPr>
    </w:p>
    <w:p w:rsidR="00B75D99" w:rsidRDefault="00B75D99" w:rsidP="00C401C6">
      <w:pPr>
        <w:spacing w:line="252" w:lineRule="auto"/>
        <w:ind w:left="180"/>
        <w:jc w:val="both"/>
        <w:rPr>
          <w:sz w:val="18"/>
          <w:lang w:val="en-GB"/>
        </w:rPr>
      </w:pPr>
    </w:p>
    <w:p w:rsidR="00B75D99" w:rsidRDefault="00B75D99" w:rsidP="00C401C6">
      <w:pPr>
        <w:spacing w:line="252" w:lineRule="auto"/>
        <w:ind w:left="180"/>
        <w:jc w:val="both"/>
        <w:rPr>
          <w:sz w:val="18"/>
          <w:lang w:val="en-GB"/>
        </w:rPr>
      </w:pPr>
    </w:p>
    <w:p w:rsidR="00B75D99" w:rsidRDefault="00B75D99" w:rsidP="00C401C6">
      <w:pPr>
        <w:spacing w:line="252" w:lineRule="auto"/>
        <w:ind w:left="180"/>
        <w:jc w:val="both"/>
        <w:rPr>
          <w:sz w:val="18"/>
          <w:lang w:val="en-GB"/>
        </w:rPr>
      </w:pPr>
    </w:p>
    <w:p w:rsidR="00B75D99" w:rsidRDefault="00B75D99" w:rsidP="00C401C6">
      <w:pPr>
        <w:spacing w:line="252" w:lineRule="auto"/>
        <w:ind w:left="180"/>
        <w:jc w:val="both"/>
        <w:rPr>
          <w:sz w:val="18"/>
          <w:lang w:val="en-GB"/>
        </w:rPr>
      </w:pPr>
    </w:p>
    <w:p w:rsidR="00B75D99" w:rsidRDefault="00B75D99" w:rsidP="00C401C6">
      <w:pPr>
        <w:spacing w:line="252" w:lineRule="auto"/>
        <w:ind w:left="180"/>
        <w:jc w:val="both"/>
        <w:rPr>
          <w:sz w:val="18"/>
          <w:lang w:val="en-GB"/>
        </w:rPr>
      </w:pPr>
      <w:r>
        <w:rPr>
          <w:noProof/>
          <w:sz w:val="18"/>
          <w:lang w:val="fr-FR" w:eastAsia="zh-CN"/>
        </w:rPr>
        <w:drawing>
          <wp:anchor distT="0" distB="0" distL="114300" distR="114300" simplePos="0" relativeHeight="251676672" behindDoc="0" locked="0" layoutInCell="1" allowOverlap="1">
            <wp:simplePos x="0" y="0"/>
            <wp:positionH relativeFrom="column">
              <wp:posOffset>-3340100</wp:posOffset>
            </wp:positionH>
            <wp:positionV relativeFrom="paragraph">
              <wp:posOffset>-434975</wp:posOffset>
            </wp:positionV>
            <wp:extent cx="6463030" cy="2115185"/>
            <wp:effectExtent l="19050" t="0" r="0" b="0"/>
            <wp:wrapSquare wrapText="bothSides"/>
            <wp:docPr id="55" name="Picture 33" descr="C:\Users\gsudhakar\AppData\Local\Microsoft\Windows\Temporary Internet Files\Content.Word\GATE 2042013_Panorama.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sudhakar\AppData\Local\Microsoft\Windows\Temporary Internet Files\Content.Word\GATE 2042013_Panorama.KLEIN.JPG"/>
                    <pic:cNvPicPr>
                      <a:picLocks noChangeAspect="1" noChangeArrowheads="1"/>
                    </pic:cNvPicPr>
                  </pic:nvPicPr>
                  <pic:blipFill>
                    <a:blip r:embed="rId54" cstate="print"/>
                    <a:srcRect/>
                    <a:stretch>
                      <a:fillRect/>
                    </a:stretch>
                  </pic:blipFill>
                  <pic:spPr bwMode="auto">
                    <a:xfrm>
                      <a:off x="0" y="0"/>
                      <a:ext cx="6463030" cy="2115185"/>
                    </a:xfrm>
                    <a:prstGeom prst="rect">
                      <a:avLst/>
                    </a:prstGeom>
                    <a:noFill/>
                    <a:ln w="9525">
                      <a:noFill/>
                      <a:miter lim="800000"/>
                      <a:headEnd/>
                      <a:tailEnd/>
                    </a:ln>
                  </pic:spPr>
                </pic:pic>
              </a:graphicData>
            </a:graphic>
          </wp:anchor>
        </w:drawing>
      </w:r>
    </w:p>
    <w:p w:rsidR="00B75D99" w:rsidRDefault="00B75D99" w:rsidP="00C401C6">
      <w:pPr>
        <w:spacing w:line="252" w:lineRule="auto"/>
        <w:ind w:left="180"/>
        <w:jc w:val="both"/>
        <w:rPr>
          <w:sz w:val="18"/>
          <w:lang w:val="en-GB"/>
        </w:rPr>
      </w:pPr>
    </w:p>
    <w:p w:rsidR="0042488A" w:rsidRDefault="0042488A" w:rsidP="00B75D99">
      <w:pPr>
        <w:spacing w:line="252" w:lineRule="auto"/>
        <w:jc w:val="both"/>
        <w:rPr>
          <w:i/>
          <w:sz w:val="16"/>
          <w:szCs w:val="16"/>
        </w:rPr>
      </w:pPr>
    </w:p>
    <w:p w:rsidR="0042488A" w:rsidRDefault="00073EEA" w:rsidP="00B75D99">
      <w:pPr>
        <w:spacing w:line="252" w:lineRule="auto"/>
        <w:jc w:val="both"/>
        <w:rPr>
          <w:i/>
          <w:sz w:val="16"/>
          <w:szCs w:val="16"/>
        </w:rPr>
      </w:pPr>
      <w:r w:rsidRPr="00073EEA">
        <w:rPr>
          <w:noProof/>
          <w:sz w:val="18"/>
          <w:lang w:eastAsia="en-US"/>
        </w:rPr>
        <w:pict>
          <v:shape id="_x0000_s1096" type="#_x0000_t202" style="position:absolute;left:0;text-align:left;margin-left:-261.1pt;margin-top:150.8pt;width:103.95pt;height:22.85pt;z-index:251682816;mso-width-relative:margin;mso-height-relative:margin" filled="f" stroked="f" strokecolor="silver">
            <v:textbox>
              <w:txbxContent>
                <w:p w:rsidR="00856114" w:rsidRDefault="00856114" w:rsidP="0042488A">
                  <w:pPr>
                    <w:rPr>
                      <w:color w:val="FFFFFF" w:themeColor="background1"/>
                      <w:sz w:val="12"/>
                      <w:szCs w:val="12"/>
                    </w:rPr>
                  </w:pPr>
                  <w:r>
                    <w:rPr>
                      <w:color w:val="FFFFFF" w:themeColor="background1"/>
                      <w:sz w:val="12"/>
                      <w:szCs w:val="12"/>
                    </w:rPr>
                    <w:t xml:space="preserve">GATE LNG, </w:t>
                  </w:r>
                  <w:proofErr w:type="gramStart"/>
                  <w:r>
                    <w:rPr>
                      <w:color w:val="FFFFFF" w:themeColor="background1"/>
                      <w:sz w:val="12"/>
                      <w:szCs w:val="12"/>
                    </w:rPr>
                    <w:t>The</w:t>
                  </w:r>
                  <w:proofErr w:type="gramEnd"/>
                  <w:r>
                    <w:rPr>
                      <w:color w:val="FFFFFF" w:themeColor="background1"/>
                      <w:sz w:val="12"/>
                      <w:szCs w:val="12"/>
                    </w:rPr>
                    <w:t xml:space="preserve"> Netherlands</w:t>
                  </w:r>
                </w:p>
                <w:p w:rsidR="00856114" w:rsidRPr="00120C1A" w:rsidRDefault="00856114" w:rsidP="0042488A">
                  <w:pPr>
                    <w:rPr>
                      <w:color w:val="FFFFFF" w:themeColor="background1"/>
                      <w:sz w:val="12"/>
                      <w:szCs w:val="12"/>
                    </w:rPr>
                  </w:pPr>
                  <w:r w:rsidRPr="00120C1A">
                    <w:rPr>
                      <w:color w:val="FFFFFF" w:themeColor="background1"/>
                      <w:sz w:val="12"/>
                      <w:szCs w:val="12"/>
                    </w:rPr>
                    <w:t xml:space="preserve">© </w:t>
                  </w:r>
                  <w:proofErr w:type="spellStart"/>
                  <w:r>
                    <w:rPr>
                      <w:color w:val="FFFFFF" w:themeColor="background1"/>
                      <w:sz w:val="12"/>
                      <w:szCs w:val="12"/>
                    </w:rPr>
                    <w:t>Vopak</w:t>
                  </w:r>
                  <w:proofErr w:type="spellEnd"/>
                </w:p>
              </w:txbxContent>
            </v:textbox>
          </v:shape>
        </w:pict>
      </w:r>
    </w:p>
    <w:p w:rsidR="00B75D99" w:rsidRDefault="0042488A" w:rsidP="00B75D99">
      <w:pPr>
        <w:spacing w:line="252" w:lineRule="auto"/>
        <w:jc w:val="both"/>
        <w:rPr>
          <w:sz w:val="18"/>
          <w:lang w:val="en-GB"/>
        </w:rPr>
      </w:pPr>
      <w:r>
        <w:rPr>
          <w:i/>
          <w:sz w:val="16"/>
          <w:szCs w:val="16"/>
        </w:rPr>
        <w:lastRenderedPageBreak/>
        <w:t>S</w:t>
      </w:r>
      <w:r w:rsidRPr="005733C3">
        <w:rPr>
          <w:i/>
          <w:sz w:val="16"/>
          <w:szCs w:val="16"/>
        </w:rPr>
        <w:t>ources: PFC Energy Global LNG Service</w:t>
      </w:r>
      <w:r>
        <w:rPr>
          <w:i/>
          <w:sz w:val="16"/>
          <w:szCs w:val="16"/>
        </w:rPr>
        <w:t>, Company Announcements</w:t>
      </w:r>
    </w:p>
    <w:tbl>
      <w:tblPr>
        <w:tblpPr w:leftFromText="180" w:rightFromText="180" w:vertAnchor="text" w:horzAnchor="margin" w:tblpY="-96"/>
        <w:tblW w:w="5043" w:type="dxa"/>
        <w:tblLayout w:type="fixed"/>
        <w:tblLook w:val="01E0"/>
      </w:tblPr>
      <w:tblGrid>
        <w:gridCol w:w="5043"/>
      </w:tblGrid>
      <w:tr w:rsidR="00B75D99" w:rsidRPr="00A918C1" w:rsidTr="00B75D99">
        <w:trPr>
          <w:trHeight w:val="2902"/>
        </w:trPr>
        <w:tc>
          <w:tcPr>
            <w:tcW w:w="5043" w:type="dxa"/>
          </w:tcPr>
          <w:p w:rsidR="00B75D99" w:rsidRDefault="00B75D99" w:rsidP="00B75D99">
            <w:pPr>
              <w:pStyle w:val="PFCBulletedText2"/>
              <w:spacing w:before="120" w:after="0"/>
              <w:ind w:left="0" w:firstLine="0"/>
              <w:jc w:val="left"/>
              <w:rPr>
                <w:noProof/>
                <w:lang w:eastAsia="en-US"/>
              </w:rPr>
            </w:pPr>
            <w:r>
              <w:rPr>
                <w:noProof/>
                <w:lang w:val="fr-FR" w:eastAsia="zh-CN"/>
              </w:rPr>
              <w:drawing>
                <wp:inline distT="0" distB="0" distL="0" distR="0">
                  <wp:extent cx="3019425" cy="2268855"/>
                  <wp:effectExtent l="19050" t="0" r="9525"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3019425" cy="2268855"/>
                          </a:xfrm>
                          <a:prstGeom prst="rect">
                            <a:avLst/>
                          </a:prstGeom>
                          <a:noFill/>
                          <a:ln w="9525">
                            <a:noFill/>
                            <a:miter lim="800000"/>
                            <a:headEnd/>
                            <a:tailEnd/>
                          </a:ln>
                        </pic:spPr>
                      </pic:pic>
                    </a:graphicData>
                  </a:graphic>
                </wp:inline>
              </w:drawing>
            </w:r>
          </w:p>
          <w:p w:rsidR="00B75D99" w:rsidRDefault="00B75D99" w:rsidP="00B75D99">
            <w:pPr>
              <w:pStyle w:val="PFCBulletedText2"/>
              <w:ind w:left="0" w:firstLine="0"/>
              <w:jc w:val="left"/>
              <w:rPr>
                <w:b/>
                <w:bCs/>
                <w:color w:val="141313" w:themeColor="text1"/>
                <w:sz w:val="18"/>
                <w:szCs w:val="18"/>
                <w:lang w:val="en-GB"/>
              </w:rPr>
            </w:pPr>
            <w:r>
              <w:rPr>
                <w:b/>
                <w:sz w:val="18"/>
                <w:szCs w:val="18"/>
              </w:rPr>
              <w:t>Figure 5.9</w:t>
            </w:r>
            <w:r w:rsidRPr="00AD0BCD">
              <w:rPr>
                <w:b/>
                <w:color w:val="141313" w:themeColor="text1"/>
                <w:sz w:val="18"/>
                <w:szCs w:val="18"/>
              </w:rPr>
              <w:t xml:space="preserve">:  </w:t>
            </w:r>
            <w:r w:rsidRPr="00AD0BCD">
              <w:rPr>
                <w:rFonts w:eastAsia="SimSun"/>
                <w:b/>
                <w:smallCaps/>
                <w:color w:val="141313" w:themeColor="text1"/>
                <w:lang w:val="en-GB"/>
              </w:rPr>
              <w:t xml:space="preserve"> </w:t>
            </w:r>
            <w:r w:rsidRPr="00E07EB2">
              <w:rPr>
                <w:rFonts w:eastAsia="SimSun"/>
                <w:b/>
                <w:bCs/>
                <w:smallCaps/>
                <w:lang w:val="en-GB"/>
              </w:rPr>
              <w:t xml:space="preserve"> </w:t>
            </w:r>
            <w:r w:rsidRPr="00E07EB2">
              <w:rPr>
                <w:rFonts w:eastAsia="SimSun"/>
                <w:b/>
                <w:smallCaps/>
                <w:lang w:val="en-GB"/>
              </w:rPr>
              <w:t xml:space="preserve"> </w:t>
            </w:r>
            <w:r w:rsidRPr="00E07EB2">
              <w:rPr>
                <w:b/>
                <w:bCs/>
                <w:color w:val="141313" w:themeColor="text1"/>
                <w:sz w:val="18"/>
                <w:szCs w:val="18"/>
                <w:lang w:val="en-GB"/>
              </w:rPr>
              <w:t>LNG Storage Capacity as a Function of Regasification Capacity, 2012</w:t>
            </w:r>
          </w:p>
          <w:p w:rsidR="00B75D99" w:rsidRPr="002055A2" w:rsidRDefault="00B75D99" w:rsidP="00B75D99">
            <w:pPr>
              <w:pStyle w:val="PFCBulletedText2"/>
              <w:ind w:left="0" w:firstLine="0"/>
              <w:jc w:val="left"/>
              <w:rPr>
                <w:b/>
                <w:sz w:val="18"/>
                <w:szCs w:val="18"/>
              </w:rPr>
            </w:pPr>
            <w:r>
              <w:rPr>
                <w:i/>
                <w:sz w:val="16"/>
                <w:szCs w:val="16"/>
              </w:rPr>
              <w:t>S</w:t>
            </w:r>
            <w:r w:rsidRPr="005733C3">
              <w:rPr>
                <w:i/>
                <w:sz w:val="16"/>
                <w:szCs w:val="16"/>
              </w:rPr>
              <w:t>ources: PFC Energy Global LNG Service</w:t>
            </w:r>
          </w:p>
        </w:tc>
      </w:tr>
    </w:tbl>
    <w:p w:rsidR="003C4484" w:rsidRDefault="003C4484" w:rsidP="00C401C6">
      <w:pPr>
        <w:pStyle w:val="Titre2"/>
        <w:ind w:firstLine="180"/>
        <w:rPr>
          <w:lang w:val="en-GB"/>
        </w:rPr>
      </w:pPr>
      <w:bookmarkStart w:id="28" w:name="_Toc360628249"/>
      <w:r>
        <w:rPr>
          <w:lang w:val="en-GB"/>
        </w:rPr>
        <w:t xml:space="preserve">5.6 </w:t>
      </w:r>
      <w:r w:rsidRPr="006B6EA3">
        <w:rPr>
          <w:lang w:val="en-GB"/>
        </w:rPr>
        <w:t xml:space="preserve">RECEIVING TERMINAL </w:t>
      </w:r>
      <w:r>
        <w:rPr>
          <w:lang w:val="en-GB"/>
        </w:rPr>
        <w:t xml:space="preserve">BERTHING </w:t>
      </w:r>
      <w:r w:rsidRPr="006B6EA3">
        <w:rPr>
          <w:lang w:val="en-GB"/>
        </w:rPr>
        <w:t>CAPACITY</w:t>
      </w:r>
      <w:bookmarkEnd w:id="28"/>
      <w:r w:rsidRPr="006B6EA3">
        <w:rPr>
          <w:lang w:val="en-GB"/>
        </w:rPr>
        <w:t xml:space="preserve"> </w:t>
      </w:r>
    </w:p>
    <w:p w:rsidR="003C4484" w:rsidRPr="007B017B" w:rsidRDefault="003C4484" w:rsidP="003C4484">
      <w:pPr>
        <w:spacing w:line="252" w:lineRule="auto"/>
        <w:ind w:left="180"/>
        <w:jc w:val="both"/>
        <w:rPr>
          <w:color w:val="80379B" w:themeColor="accent6"/>
          <w:sz w:val="18"/>
          <w:lang w:val="en-GB"/>
        </w:rPr>
      </w:pPr>
    </w:p>
    <w:p w:rsidR="003C4484" w:rsidRPr="00F77E39" w:rsidRDefault="003C4484" w:rsidP="003C4484">
      <w:pPr>
        <w:spacing w:line="252" w:lineRule="auto"/>
        <w:ind w:left="180"/>
        <w:jc w:val="both"/>
        <w:rPr>
          <w:color w:val="141313" w:themeColor="text1"/>
          <w:sz w:val="18"/>
          <w:lang w:val="en-GB"/>
        </w:rPr>
      </w:pPr>
      <w:r w:rsidRPr="00F77E39">
        <w:rPr>
          <w:color w:val="141313" w:themeColor="text1"/>
          <w:sz w:val="18"/>
          <w:lang w:val="en-GB"/>
        </w:rPr>
        <w:t xml:space="preserve">Roughly 60% of LNG </w:t>
      </w:r>
      <w:r w:rsidRPr="00F926CA">
        <w:rPr>
          <w:sz w:val="18"/>
          <w:lang w:val="en-GB"/>
        </w:rPr>
        <w:t>terminals can accommodate vessels with an LNG carrying capacity of over 180,000 cubic meters. This share has doubled since 2005 as new terminals came on</w:t>
      </w:r>
      <w:r w:rsidR="00FF514B" w:rsidRPr="00F926CA">
        <w:rPr>
          <w:sz w:val="18"/>
          <w:lang w:val="en-GB"/>
        </w:rPr>
        <w:t>-</w:t>
      </w:r>
      <w:r w:rsidRPr="00F926CA">
        <w:rPr>
          <w:sz w:val="18"/>
          <w:lang w:val="en-GB"/>
        </w:rPr>
        <w:t>stream with berthing</w:t>
      </w:r>
      <w:r w:rsidRPr="00F77E39">
        <w:rPr>
          <w:color w:val="141313" w:themeColor="text1"/>
          <w:sz w:val="18"/>
          <w:lang w:val="en-GB"/>
        </w:rPr>
        <w:t xml:space="preserve"> capacities over 180,000 cm and a growing number of existing terminals are upgrading facilities to accommodate larger ships. However, as the average terminal size decreases, smaller jetties may need to be accommodated. </w:t>
      </w:r>
    </w:p>
    <w:p w:rsidR="003C4484" w:rsidRDefault="003C4484" w:rsidP="003C4484">
      <w:pPr>
        <w:spacing w:line="252" w:lineRule="auto"/>
        <w:ind w:left="180"/>
        <w:jc w:val="both"/>
        <w:rPr>
          <w:sz w:val="18"/>
          <w:lang w:val="en-GB"/>
        </w:rPr>
      </w:pPr>
    </w:p>
    <w:p w:rsidR="003C4484" w:rsidRPr="00E6268D"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E6268D">
        <w:rPr>
          <w:sz w:val="18"/>
          <w:lang w:val="en-GB"/>
        </w:rPr>
        <w:t xml:space="preserve">Recently, however, the number of terminals with conventional berthing capacity has increased, largely due to the commissioning of floating terminals, including the Nusantara terminal in Indonesia in 2012 and the </w:t>
      </w:r>
      <w:proofErr w:type="spellStart"/>
      <w:r w:rsidRPr="00E6268D">
        <w:rPr>
          <w:sz w:val="18"/>
          <w:lang w:val="en-GB"/>
        </w:rPr>
        <w:t>Hadera</w:t>
      </w:r>
      <w:proofErr w:type="spellEnd"/>
      <w:r w:rsidRPr="00E6268D">
        <w:rPr>
          <w:sz w:val="18"/>
          <w:lang w:val="en-GB"/>
        </w:rPr>
        <w:t xml:space="preserve"> Gateway terminal in Israel in early 2013. </w:t>
      </w:r>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E6268D">
        <w:rPr>
          <w:sz w:val="18"/>
          <w:lang w:val="en-GB"/>
        </w:rPr>
        <w:t xml:space="preserve">This trend could continue as smaller floating terminals continue to be proposed as an easier way to introduce LNG to small or </w:t>
      </w:r>
      <w:r w:rsidRPr="00F926CA">
        <w:rPr>
          <w:sz w:val="18"/>
          <w:lang w:val="en-GB"/>
        </w:rPr>
        <w:t>new markets. Floating terminals are under construction in six different countries, all of which are announced to come on</w:t>
      </w:r>
      <w:r w:rsidR="00FF514B" w:rsidRPr="00F926CA">
        <w:rPr>
          <w:sz w:val="18"/>
          <w:lang w:val="en-GB"/>
        </w:rPr>
        <w:t>-</w:t>
      </w:r>
      <w:r w:rsidRPr="00F926CA">
        <w:rPr>
          <w:sz w:val="18"/>
          <w:lang w:val="en-GB"/>
        </w:rPr>
        <w:t>stream</w:t>
      </w:r>
      <w:r w:rsidRPr="00E6268D">
        <w:rPr>
          <w:sz w:val="18"/>
          <w:lang w:val="en-GB"/>
        </w:rPr>
        <w:t xml:space="preserve"> by 2016, with many more countries and developers studying or planning offshore terminal developments.</w:t>
      </w:r>
    </w:p>
    <w:p w:rsidR="003C4484" w:rsidRDefault="003C4484" w:rsidP="00C401C6">
      <w:pPr>
        <w:pStyle w:val="Titre2"/>
        <w:ind w:firstLine="180"/>
        <w:rPr>
          <w:lang w:val="en-GB"/>
        </w:rPr>
      </w:pPr>
      <w:bookmarkStart w:id="29" w:name="_Toc360628250"/>
      <w:r>
        <w:rPr>
          <w:lang w:val="en-GB"/>
        </w:rPr>
        <w:t>5.7 FLOATING AND OFFSHORE REGASIFICATION</w:t>
      </w:r>
      <w:bookmarkEnd w:id="29"/>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031809">
        <w:rPr>
          <w:sz w:val="18"/>
          <w:lang w:val="en-GB"/>
        </w:rPr>
        <w:t xml:space="preserve">In January 2013, the floating regasification market reached 31.7 </w:t>
      </w:r>
      <w:r w:rsidRPr="008A6B9F">
        <w:rPr>
          <w:color w:val="141313" w:themeColor="text1"/>
          <w:sz w:val="18"/>
          <w:lang w:val="en-GB"/>
        </w:rPr>
        <w:t xml:space="preserve">MTPA of import capacity spread across eight different countries with the addition of </w:t>
      </w:r>
      <w:proofErr w:type="spellStart"/>
      <w:r w:rsidRPr="008A6B9F">
        <w:rPr>
          <w:color w:val="141313" w:themeColor="text1"/>
          <w:sz w:val="18"/>
          <w:lang w:val="en-GB"/>
        </w:rPr>
        <w:t>Hadera</w:t>
      </w:r>
      <w:proofErr w:type="spellEnd"/>
      <w:r w:rsidRPr="008A6B9F">
        <w:rPr>
          <w:color w:val="141313" w:themeColor="text1"/>
          <w:sz w:val="18"/>
          <w:lang w:val="en-GB"/>
        </w:rPr>
        <w:t xml:space="preserve"> Gateway in Israel. One additional offshore project exists in Italy (Adriatic LNG), but this utilizes a non-floating system. Utilization levels at these floating terminals vary significantly depending on the technical characteristics of </w:t>
      </w:r>
      <w:r w:rsidRPr="008A6B9F">
        <w:rPr>
          <w:color w:val="141313" w:themeColor="text1"/>
          <w:sz w:val="18"/>
          <w:lang w:val="en-GB"/>
        </w:rPr>
        <w:lastRenderedPageBreak/>
        <w:t>the project’s regasification vessel and the level of</w:t>
      </w:r>
      <w:r w:rsidRPr="00031809">
        <w:rPr>
          <w:sz w:val="18"/>
          <w:lang w:val="en-GB"/>
        </w:rPr>
        <w:t xml:space="preserve"> LNG demand in the local market.   The Middle East and South America had the highest levels of </w:t>
      </w:r>
      <w:r>
        <w:rPr>
          <w:sz w:val="18"/>
          <w:lang w:val="en-GB"/>
        </w:rPr>
        <w:t xml:space="preserve">import </w:t>
      </w:r>
      <w:r w:rsidRPr="00031809">
        <w:rPr>
          <w:sz w:val="18"/>
          <w:lang w:val="en-GB"/>
        </w:rPr>
        <w:t xml:space="preserve">utilization </w:t>
      </w:r>
      <w:r>
        <w:rPr>
          <w:sz w:val="18"/>
          <w:lang w:val="en-GB"/>
        </w:rPr>
        <w:t xml:space="preserve">at floating terminals </w:t>
      </w:r>
      <w:r w:rsidRPr="00031809">
        <w:rPr>
          <w:sz w:val="18"/>
          <w:lang w:val="en-GB"/>
        </w:rPr>
        <w:t>in 2012.</w:t>
      </w:r>
    </w:p>
    <w:p w:rsidR="003C4484" w:rsidRDefault="003C4484" w:rsidP="003C4484">
      <w:pPr>
        <w:spacing w:line="252" w:lineRule="auto"/>
        <w:ind w:left="180"/>
        <w:jc w:val="both"/>
        <w:rPr>
          <w:sz w:val="18"/>
          <w:lang w:val="en-GB"/>
        </w:rPr>
      </w:pPr>
    </w:p>
    <w:p w:rsidR="003C4484" w:rsidRPr="008366C0" w:rsidRDefault="00073EEA" w:rsidP="003C4484">
      <w:pPr>
        <w:spacing w:line="252" w:lineRule="auto"/>
        <w:ind w:left="180"/>
        <w:jc w:val="both"/>
        <w:rPr>
          <w:sz w:val="18"/>
          <w:lang w:val="en-GB"/>
        </w:rPr>
      </w:pPr>
      <w:r w:rsidRPr="00073EEA">
        <w:rPr>
          <w:noProof/>
          <w:sz w:val="18"/>
          <w:lang w:eastAsia="en-US"/>
        </w:rPr>
        <w:pict>
          <v:shape id="_x0000_s1059" type="#_x0000_t202" style="position:absolute;left:0;text-align:left;margin-left:170.4pt;margin-top:1.55pt;width:95.4pt;height:40.75pt;z-index:251658240;mso-wrap-edited:f;mso-wrap-distance-left:14.4pt;mso-wrap-distance-right:14.4pt;mso-width-relative:margin;mso-height-relative:margin" wrapcoords="0 0 21600 0 21600 21600 0 21600 0 0" filled="f" stroked="f" strokecolor="silver">
            <v:fill o:detectmouseclick="t"/>
            <v:textbox style="mso-next-textbox:#_x0000_s1059" inset="0,0,0,0">
              <w:txbxContent>
                <w:p w:rsidR="00856114" w:rsidRPr="003A5BDA" w:rsidRDefault="00856114" w:rsidP="003C4484">
                  <w:pPr>
                    <w:rPr>
                      <w:b/>
                      <w:color w:val="1B82CE" w:themeColor="accent3"/>
                      <w:sz w:val="24"/>
                    </w:rPr>
                  </w:pPr>
                  <w:r>
                    <w:rPr>
                      <w:b/>
                      <w:color w:val="1B82CE" w:themeColor="accent3"/>
                      <w:sz w:val="24"/>
                    </w:rPr>
                    <w:t>31.7 MTPA</w:t>
                  </w:r>
                </w:p>
                <w:p w:rsidR="00856114" w:rsidRPr="003A5BDA" w:rsidRDefault="00856114" w:rsidP="003C4484">
                  <w:pPr>
                    <w:rPr>
                      <w:i/>
                      <w:color w:val="1B82CE" w:themeColor="accent3"/>
                      <w:sz w:val="18"/>
                    </w:rPr>
                  </w:pPr>
                  <w:r>
                    <w:rPr>
                      <w:i/>
                      <w:color w:val="1B82CE" w:themeColor="accent3"/>
                      <w:sz w:val="18"/>
                    </w:rPr>
                    <w:t>Floating LNG receiving capacity in Q1 2013</w:t>
                  </w:r>
                </w:p>
              </w:txbxContent>
            </v:textbox>
            <w10:wrap type="tight"/>
          </v:shape>
        </w:pict>
      </w:r>
      <w:r w:rsidR="003C4484" w:rsidRPr="00031809">
        <w:rPr>
          <w:sz w:val="18"/>
          <w:lang w:val="en-GB"/>
        </w:rPr>
        <w:t xml:space="preserve">Eight floating projects, totalling 20.4 </w:t>
      </w:r>
      <w:r w:rsidR="003C4484" w:rsidRPr="008A6B9F">
        <w:rPr>
          <w:color w:val="141313" w:themeColor="text1"/>
          <w:sz w:val="18"/>
          <w:lang w:val="en-GB"/>
        </w:rPr>
        <w:t>MTPA of capacity, are currently under construction in six countries, including the Klaipeda LNG terminal in Lithuania, a market which has</w:t>
      </w:r>
      <w:r w:rsidR="003C4484" w:rsidRPr="00031809">
        <w:rPr>
          <w:sz w:val="18"/>
          <w:lang w:val="en-GB"/>
        </w:rPr>
        <w:t xml:space="preserve"> never</w:t>
      </w:r>
      <w:r w:rsidR="003C4484">
        <w:rPr>
          <w:sz w:val="18"/>
          <w:lang w:val="en-GB"/>
        </w:rPr>
        <w:t xml:space="preserve"> before</w:t>
      </w:r>
      <w:r w:rsidR="003C4484" w:rsidRPr="00031809">
        <w:rPr>
          <w:sz w:val="18"/>
          <w:lang w:val="en-GB"/>
        </w:rPr>
        <w:t xml:space="preserve"> imported LNG</w:t>
      </w:r>
      <w:r w:rsidR="003C4484">
        <w:rPr>
          <w:sz w:val="18"/>
          <w:lang w:val="en-GB"/>
        </w:rPr>
        <w:t>.</w:t>
      </w:r>
      <w:r w:rsidR="003C4484" w:rsidRPr="00031809">
        <w:rPr>
          <w:sz w:val="18"/>
          <w:lang w:val="en-GB"/>
        </w:rPr>
        <w:t xml:space="preserve"> Further, nearly 100 </w:t>
      </w:r>
      <w:r w:rsidR="003C4484">
        <w:rPr>
          <w:sz w:val="18"/>
          <w:lang w:val="en-GB"/>
        </w:rPr>
        <w:t>MTPA</w:t>
      </w:r>
      <w:r w:rsidR="003C4484" w:rsidRPr="00031809">
        <w:rPr>
          <w:sz w:val="18"/>
          <w:lang w:val="en-GB"/>
        </w:rPr>
        <w:t xml:space="preserve"> of offshore LNG terminals have been authorized or proposed, including many in new markets.</w:t>
      </w:r>
    </w:p>
    <w:p w:rsidR="003C4484" w:rsidRDefault="003C4484" w:rsidP="003C4484">
      <w:pPr>
        <w:spacing w:line="252" w:lineRule="auto"/>
        <w:jc w:val="both"/>
        <w:rPr>
          <w:sz w:val="18"/>
          <w:lang w:val="en-GB"/>
        </w:rPr>
      </w:pPr>
    </w:p>
    <w:tbl>
      <w:tblPr>
        <w:tblpPr w:leftFromText="180" w:rightFromText="180" w:vertAnchor="text" w:horzAnchor="margin" w:tblpXSpec="right" w:tblpY="27"/>
        <w:tblW w:w="4975" w:type="dxa"/>
        <w:tblLayout w:type="fixed"/>
        <w:tblLook w:val="01E0"/>
      </w:tblPr>
      <w:tblGrid>
        <w:gridCol w:w="4975"/>
      </w:tblGrid>
      <w:tr w:rsidR="003C4484" w:rsidRPr="00A918C1" w:rsidTr="00E757B1">
        <w:trPr>
          <w:trHeight w:val="2938"/>
        </w:trPr>
        <w:tc>
          <w:tcPr>
            <w:tcW w:w="4975" w:type="dxa"/>
          </w:tcPr>
          <w:p w:rsidR="003C4484" w:rsidRDefault="003C4484" w:rsidP="00E757B1">
            <w:pPr>
              <w:pStyle w:val="PFCBulletedText2"/>
              <w:spacing w:before="120" w:after="0"/>
              <w:ind w:left="0" w:firstLine="0"/>
              <w:jc w:val="left"/>
              <w:rPr>
                <w:noProof/>
                <w:lang w:eastAsia="en-US"/>
              </w:rPr>
            </w:pPr>
            <w:r>
              <w:rPr>
                <w:noProof/>
                <w:lang w:val="fr-FR" w:eastAsia="zh-CN"/>
              </w:rPr>
              <w:drawing>
                <wp:inline distT="0" distB="0" distL="0" distR="0">
                  <wp:extent cx="3019425" cy="2061845"/>
                  <wp:effectExtent l="19050" t="0" r="9525"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3019425" cy="2061845"/>
                          </a:xfrm>
                          <a:prstGeom prst="rect">
                            <a:avLst/>
                          </a:prstGeom>
                          <a:noFill/>
                          <a:ln w="9525">
                            <a:noFill/>
                            <a:miter lim="800000"/>
                            <a:headEnd/>
                            <a:tailEnd/>
                          </a:ln>
                        </pic:spPr>
                      </pic:pic>
                    </a:graphicData>
                  </a:graphic>
                </wp:inline>
              </w:drawing>
            </w:r>
          </w:p>
          <w:p w:rsidR="003C4484" w:rsidRDefault="003C4484" w:rsidP="00E757B1">
            <w:pPr>
              <w:pStyle w:val="PFCBulletedText2"/>
              <w:ind w:left="0" w:firstLine="0"/>
              <w:jc w:val="left"/>
              <w:rPr>
                <w:b/>
                <w:bCs/>
                <w:color w:val="141313" w:themeColor="text1"/>
                <w:sz w:val="18"/>
                <w:szCs w:val="18"/>
                <w:lang w:val="en-GB"/>
              </w:rPr>
            </w:pPr>
            <w:r>
              <w:rPr>
                <w:b/>
                <w:sz w:val="18"/>
                <w:szCs w:val="18"/>
              </w:rPr>
              <w:t xml:space="preserve">Figure </w:t>
            </w:r>
            <w:r w:rsidR="004C2905">
              <w:rPr>
                <w:b/>
                <w:sz w:val="18"/>
                <w:szCs w:val="18"/>
              </w:rPr>
              <w:t>5.</w:t>
            </w:r>
            <w:r>
              <w:rPr>
                <w:b/>
                <w:sz w:val="18"/>
                <w:szCs w:val="18"/>
              </w:rPr>
              <w:t>11</w:t>
            </w:r>
            <w:r w:rsidRPr="00AD0BCD">
              <w:rPr>
                <w:b/>
                <w:color w:val="141313" w:themeColor="text1"/>
                <w:sz w:val="18"/>
                <w:szCs w:val="18"/>
              </w:rPr>
              <w:t xml:space="preserve">:  </w:t>
            </w:r>
            <w:r w:rsidRPr="00031809">
              <w:rPr>
                <w:rFonts w:eastAsia="SimSun"/>
                <w:b/>
                <w:smallCaps/>
                <w:lang w:val="en-GB"/>
              </w:rPr>
              <w:t xml:space="preserve"> </w:t>
            </w:r>
            <w:r w:rsidRPr="00031809">
              <w:rPr>
                <w:b/>
                <w:bCs/>
                <w:color w:val="141313" w:themeColor="text1"/>
                <w:sz w:val="18"/>
                <w:szCs w:val="18"/>
                <w:lang w:val="en-GB"/>
              </w:rPr>
              <w:t>Floating Regasification Capacity by Status, 2005-2017</w:t>
            </w:r>
          </w:p>
          <w:tbl>
            <w:tblPr>
              <w:tblpPr w:leftFromText="180" w:rightFromText="180" w:vertAnchor="text" w:horzAnchor="margin" w:tblpY="648"/>
              <w:tblOverlap w:val="never"/>
              <w:tblW w:w="4975" w:type="dxa"/>
              <w:tblLayout w:type="fixed"/>
              <w:tblLook w:val="01E0"/>
            </w:tblPr>
            <w:tblGrid>
              <w:gridCol w:w="4975"/>
            </w:tblGrid>
            <w:tr w:rsidR="002001DB" w:rsidRPr="00A918C1" w:rsidTr="002001DB">
              <w:trPr>
                <w:trHeight w:val="2938"/>
              </w:trPr>
              <w:tc>
                <w:tcPr>
                  <w:tcW w:w="4975" w:type="dxa"/>
                </w:tcPr>
                <w:p w:rsidR="002001DB" w:rsidRDefault="002001DB" w:rsidP="002001DB">
                  <w:pPr>
                    <w:pStyle w:val="PFCBulletedText2"/>
                    <w:spacing w:before="120" w:after="0"/>
                    <w:ind w:left="0" w:firstLine="0"/>
                    <w:jc w:val="left"/>
                    <w:rPr>
                      <w:noProof/>
                      <w:lang w:eastAsia="en-US"/>
                    </w:rPr>
                  </w:pPr>
                  <w:r>
                    <w:rPr>
                      <w:noProof/>
                      <w:lang w:val="fr-FR" w:eastAsia="zh-CN"/>
                    </w:rPr>
                    <w:drawing>
                      <wp:inline distT="0" distB="0" distL="0" distR="0">
                        <wp:extent cx="3019425" cy="2122170"/>
                        <wp:effectExtent l="19050" t="0" r="9525"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3019425" cy="2122170"/>
                                </a:xfrm>
                                <a:prstGeom prst="rect">
                                  <a:avLst/>
                                </a:prstGeom>
                                <a:noFill/>
                                <a:ln w="9525">
                                  <a:noFill/>
                                  <a:miter lim="800000"/>
                                  <a:headEnd/>
                                  <a:tailEnd/>
                                </a:ln>
                              </pic:spPr>
                            </pic:pic>
                          </a:graphicData>
                        </a:graphic>
                      </wp:inline>
                    </w:drawing>
                  </w:r>
                </w:p>
                <w:p w:rsidR="002001DB" w:rsidRDefault="002001DB" w:rsidP="002001DB">
                  <w:pPr>
                    <w:pStyle w:val="PFCBulletedText2"/>
                    <w:ind w:left="0" w:firstLine="0"/>
                    <w:jc w:val="left"/>
                    <w:rPr>
                      <w:b/>
                      <w:bCs/>
                      <w:color w:val="141313" w:themeColor="text1"/>
                      <w:sz w:val="18"/>
                      <w:szCs w:val="18"/>
                      <w:lang w:val="en-GB"/>
                    </w:rPr>
                  </w:pPr>
                  <w:r>
                    <w:rPr>
                      <w:b/>
                      <w:sz w:val="18"/>
                      <w:szCs w:val="18"/>
                    </w:rPr>
                    <w:t>Figure 5.</w:t>
                  </w:r>
                  <w:r>
                    <w:rPr>
                      <w:b/>
                      <w:color w:val="141313" w:themeColor="text1"/>
                      <w:sz w:val="18"/>
                      <w:szCs w:val="18"/>
                    </w:rPr>
                    <w:t>10</w:t>
                  </w:r>
                  <w:r w:rsidRPr="00AD0BCD">
                    <w:rPr>
                      <w:b/>
                      <w:color w:val="141313" w:themeColor="text1"/>
                      <w:sz w:val="18"/>
                      <w:szCs w:val="18"/>
                    </w:rPr>
                    <w:t xml:space="preserve">:  </w:t>
                  </w:r>
                  <w:r w:rsidRPr="00AD0BCD">
                    <w:rPr>
                      <w:rFonts w:eastAsia="SimSun"/>
                      <w:b/>
                      <w:smallCaps/>
                      <w:color w:val="141313" w:themeColor="text1"/>
                      <w:lang w:val="en-GB"/>
                    </w:rPr>
                    <w:t xml:space="preserve"> </w:t>
                  </w:r>
                  <w:r w:rsidRPr="00E07EB2">
                    <w:rPr>
                      <w:rFonts w:eastAsia="SimSun"/>
                      <w:b/>
                      <w:bCs/>
                      <w:smallCaps/>
                      <w:lang w:val="en-GB"/>
                    </w:rPr>
                    <w:t xml:space="preserve"> </w:t>
                  </w:r>
                  <w:r w:rsidRPr="00031809">
                    <w:rPr>
                      <w:rFonts w:eastAsia="SimSun"/>
                      <w:b/>
                      <w:smallCaps/>
                      <w:lang w:val="en-GB"/>
                    </w:rPr>
                    <w:t xml:space="preserve"> </w:t>
                  </w:r>
                  <w:r>
                    <w:rPr>
                      <w:b/>
                      <w:bCs/>
                      <w:color w:val="141313" w:themeColor="text1"/>
                      <w:sz w:val="18"/>
                      <w:szCs w:val="18"/>
                      <w:lang w:val="en-GB"/>
                    </w:rPr>
                    <w:t>Maximum Berthing Capacity of LNG Receiving Terminals by Region, 2012</w:t>
                  </w:r>
                  <w:r>
                    <w:rPr>
                      <w:rStyle w:val="Appelnotedebasdep"/>
                      <w:b/>
                      <w:bCs/>
                      <w:color w:val="141313" w:themeColor="text1"/>
                      <w:sz w:val="18"/>
                      <w:szCs w:val="18"/>
                      <w:lang w:val="en-GB"/>
                    </w:rPr>
                    <w:footnoteReference w:id="9"/>
                  </w:r>
                </w:p>
                <w:p w:rsidR="002001DB" w:rsidRPr="002055A2" w:rsidRDefault="002001DB" w:rsidP="002001DB">
                  <w:pPr>
                    <w:pStyle w:val="PFCBulletedText2"/>
                    <w:ind w:left="0" w:firstLine="0"/>
                    <w:jc w:val="left"/>
                    <w:rPr>
                      <w:b/>
                      <w:sz w:val="18"/>
                      <w:szCs w:val="18"/>
                    </w:rPr>
                  </w:pPr>
                  <w:r>
                    <w:rPr>
                      <w:i/>
                      <w:sz w:val="16"/>
                      <w:szCs w:val="16"/>
                    </w:rPr>
                    <w:t>S</w:t>
                  </w:r>
                  <w:r w:rsidRPr="005733C3">
                    <w:rPr>
                      <w:i/>
                      <w:sz w:val="16"/>
                      <w:szCs w:val="16"/>
                    </w:rPr>
                    <w:t>ources: PFC Energy Global LNG Service</w:t>
                  </w:r>
                </w:p>
              </w:tc>
            </w:tr>
          </w:tbl>
          <w:p w:rsidR="003C4484" w:rsidRPr="002055A2" w:rsidRDefault="003C4484"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3C4484" w:rsidRPr="00AF6B51" w:rsidRDefault="003C4484" w:rsidP="003C4484">
      <w:pPr>
        <w:spacing w:line="252" w:lineRule="auto"/>
        <w:ind w:left="180"/>
        <w:jc w:val="both"/>
        <w:rPr>
          <w:color w:val="141313" w:themeColor="text1"/>
          <w:sz w:val="18"/>
          <w:lang w:val="en-GB"/>
        </w:rPr>
      </w:pPr>
      <w:r w:rsidRPr="00AF6B51">
        <w:rPr>
          <w:color w:val="141313" w:themeColor="text1"/>
          <w:sz w:val="18"/>
          <w:lang w:val="en-GB"/>
        </w:rPr>
        <w:t xml:space="preserve">A variety of offshore regasification concepts have been </w:t>
      </w:r>
      <w:r w:rsidRPr="00AF6B51">
        <w:rPr>
          <w:color w:val="141313" w:themeColor="text1"/>
          <w:sz w:val="18"/>
          <w:lang w:val="en-GB"/>
        </w:rPr>
        <w:lastRenderedPageBreak/>
        <w:t xml:space="preserve">developed as the long lead time and high investment costs for land-based terminals make floating a more attractive option, particularly for new or smaller markets. The proliferation of floating systems is also a result of the lessened regulatory scrutiny due to fewer environmental impacts. </w:t>
      </w:r>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color w:val="141313" w:themeColor="text1"/>
          <w:sz w:val="18"/>
          <w:lang w:val="en-GB"/>
        </w:rPr>
      </w:pPr>
      <w:r w:rsidRPr="00AF6B51">
        <w:rPr>
          <w:color w:val="141313" w:themeColor="text1"/>
          <w:sz w:val="18"/>
          <w:lang w:val="en-GB"/>
        </w:rPr>
        <w:t xml:space="preserve">A </w:t>
      </w:r>
      <w:r w:rsidRPr="00AF6B51">
        <w:rPr>
          <w:b/>
          <w:color w:val="141313" w:themeColor="text1"/>
          <w:sz w:val="18"/>
          <w:lang w:val="en-GB"/>
        </w:rPr>
        <w:t>Floating Storage and Regasification Unit (FSRU</w:t>
      </w:r>
      <w:r w:rsidRPr="00AF6B51">
        <w:rPr>
          <w:color w:val="141313" w:themeColor="text1"/>
          <w:sz w:val="18"/>
          <w:lang w:val="en-GB"/>
        </w:rPr>
        <w:t xml:space="preserve">) is an LNG carrier with on-board regasification capability. There are two types of FSRUs: converted vessels are retrofitted LNG carriers that are permanently moored to the shore, and </w:t>
      </w:r>
      <w:r w:rsidR="00F926CA">
        <w:rPr>
          <w:color w:val="141313" w:themeColor="text1"/>
          <w:sz w:val="18"/>
          <w:lang w:val="en-GB"/>
        </w:rPr>
        <w:t>new-build</w:t>
      </w:r>
      <w:r w:rsidRPr="00AF6B51">
        <w:rPr>
          <w:color w:val="141313" w:themeColor="text1"/>
          <w:sz w:val="18"/>
          <w:lang w:val="en-GB"/>
        </w:rPr>
        <w:t xml:space="preserve"> FSRUs are constructed with the dual function of operating as a terminal or conventional LNG vessel</w:t>
      </w:r>
      <w:r>
        <w:rPr>
          <w:color w:val="141313" w:themeColor="text1"/>
          <w:sz w:val="18"/>
          <w:lang w:val="en-GB"/>
        </w:rPr>
        <w:t>.</w:t>
      </w:r>
    </w:p>
    <w:p w:rsidR="003C4484" w:rsidRPr="00030048" w:rsidRDefault="003C4484" w:rsidP="003C4484">
      <w:pPr>
        <w:spacing w:line="252" w:lineRule="auto"/>
        <w:ind w:left="180"/>
        <w:jc w:val="both"/>
        <w:rPr>
          <w:sz w:val="18"/>
          <w:lang w:val="en-GB"/>
        </w:rPr>
      </w:pPr>
    </w:p>
    <w:p w:rsidR="003C4484" w:rsidRPr="00030048" w:rsidRDefault="003C4484" w:rsidP="003C4484">
      <w:pPr>
        <w:spacing w:line="252" w:lineRule="auto"/>
        <w:ind w:left="180"/>
        <w:jc w:val="both"/>
        <w:rPr>
          <w:sz w:val="18"/>
          <w:lang w:val="en-GB"/>
        </w:rPr>
      </w:pPr>
      <w:r w:rsidRPr="00030048">
        <w:rPr>
          <w:sz w:val="18"/>
          <w:lang w:val="en-GB"/>
        </w:rPr>
        <w:t xml:space="preserve">A </w:t>
      </w:r>
      <w:r w:rsidRPr="00030048">
        <w:rPr>
          <w:b/>
          <w:sz w:val="18"/>
          <w:lang w:val="en-GB"/>
        </w:rPr>
        <w:t>Gravity-Based Structure (GBS)</w:t>
      </w:r>
      <w:r w:rsidRPr="00030048">
        <w:rPr>
          <w:sz w:val="18"/>
          <w:lang w:val="en-GB"/>
        </w:rPr>
        <w:t xml:space="preserve"> is a submersible structure that permanently rests on the sea floor and contains integral LNG storage tanks and regasification equipment on the top</w:t>
      </w:r>
      <w:r>
        <w:rPr>
          <w:sz w:val="18"/>
          <w:lang w:val="en-GB"/>
        </w:rPr>
        <w:t xml:space="preserve">side.  It is a robust but </w:t>
      </w:r>
      <w:r w:rsidRPr="00030048">
        <w:rPr>
          <w:sz w:val="18"/>
          <w:lang w:val="en-GB"/>
        </w:rPr>
        <w:t>costly solution and currently there are no proposa</w:t>
      </w:r>
      <w:r>
        <w:rPr>
          <w:sz w:val="18"/>
          <w:lang w:val="en-GB"/>
        </w:rPr>
        <w:t>ls for additional GBS projects beyond the existing Adriatic LNG terminal in Italy.</w:t>
      </w:r>
    </w:p>
    <w:p w:rsidR="003C4484" w:rsidRPr="008366C0" w:rsidRDefault="003C4484" w:rsidP="003C4484">
      <w:pPr>
        <w:spacing w:line="252" w:lineRule="auto"/>
        <w:ind w:left="180"/>
        <w:jc w:val="both"/>
        <w:rPr>
          <w:sz w:val="18"/>
          <w:lang w:val="en-GB"/>
        </w:rPr>
      </w:pPr>
    </w:p>
    <w:p w:rsidR="003C4484" w:rsidRPr="008366C0" w:rsidRDefault="003C4484" w:rsidP="003C4484">
      <w:pPr>
        <w:spacing w:line="252" w:lineRule="auto"/>
        <w:ind w:left="180"/>
        <w:jc w:val="both"/>
        <w:rPr>
          <w:sz w:val="18"/>
          <w:lang w:val="en-GB"/>
        </w:rPr>
      </w:pPr>
      <w:r w:rsidRPr="008366C0">
        <w:rPr>
          <w:sz w:val="18"/>
          <w:lang w:val="en-GB"/>
        </w:rPr>
        <w:t>Other concepts are at a conceptual stage</w:t>
      </w:r>
      <w:r>
        <w:rPr>
          <w:sz w:val="18"/>
          <w:lang w:val="en-GB"/>
        </w:rPr>
        <w:t>,</w:t>
      </w:r>
      <w:r w:rsidRPr="008366C0">
        <w:rPr>
          <w:sz w:val="18"/>
          <w:lang w:val="en-GB"/>
        </w:rPr>
        <w:t xml:space="preserve"> such as </w:t>
      </w:r>
      <w:proofErr w:type="spellStart"/>
      <w:r w:rsidRPr="008366C0">
        <w:rPr>
          <w:sz w:val="18"/>
          <w:lang w:val="en-GB"/>
        </w:rPr>
        <w:t>Hiload</w:t>
      </w:r>
      <w:proofErr w:type="spellEnd"/>
      <w:r>
        <w:rPr>
          <w:sz w:val="18"/>
          <w:lang w:val="en-GB"/>
        </w:rPr>
        <w:t xml:space="preserve">, which is </w:t>
      </w:r>
      <w:r w:rsidRPr="008366C0">
        <w:rPr>
          <w:sz w:val="18"/>
          <w:lang w:val="en-GB"/>
        </w:rPr>
        <w:t xml:space="preserve">a floating docking station to which an LNG carrier is able to dock via a friction-based attachment system.  The LNG is regasified offshore and exported to shore via a subsea pipeline.  </w:t>
      </w:r>
    </w:p>
    <w:p w:rsidR="003C4484" w:rsidRDefault="003C4484" w:rsidP="00C401C6">
      <w:pPr>
        <w:pStyle w:val="Titre2"/>
        <w:ind w:left="180"/>
        <w:rPr>
          <w:lang w:val="en-GB"/>
        </w:rPr>
      </w:pPr>
      <w:bookmarkStart w:id="30" w:name="_Toc360628251"/>
      <w:r>
        <w:rPr>
          <w:lang w:val="en-GB"/>
        </w:rPr>
        <w:t>5.8 RECEIVING TERMINALS WITH RELOADING CAPABILITY</w:t>
      </w:r>
      <w:bookmarkEnd w:id="30"/>
    </w:p>
    <w:p w:rsidR="003C4484" w:rsidRDefault="003C4484" w:rsidP="003C4484">
      <w:pPr>
        <w:spacing w:line="252" w:lineRule="auto"/>
        <w:ind w:left="180"/>
        <w:jc w:val="both"/>
        <w:rPr>
          <w:sz w:val="18"/>
          <w:lang w:val="en-GB"/>
        </w:rPr>
      </w:pPr>
    </w:p>
    <w:p w:rsidR="003C4484" w:rsidRDefault="003C4484" w:rsidP="003C4484">
      <w:pPr>
        <w:spacing w:line="252" w:lineRule="auto"/>
        <w:ind w:left="180"/>
        <w:jc w:val="both"/>
        <w:rPr>
          <w:sz w:val="18"/>
          <w:lang w:val="en-GB"/>
        </w:rPr>
      </w:pPr>
      <w:r w:rsidRPr="008366C0">
        <w:rPr>
          <w:sz w:val="18"/>
          <w:lang w:val="en-GB"/>
        </w:rPr>
        <w:t xml:space="preserve">In 2012, eleven terminals in six countries </w:t>
      </w:r>
      <w:r>
        <w:rPr>
          <w:sz w:val="18"/>
          <w:lang w:val="en-GB"/>
        </w:rPr>
        <w:t xml:space="preserve">had the capability to re-export </w:t>
      </w:r>
      <w:r w:rsidRPr="008366C0">
        <w:rPr>
          <w:sz w:val="18"/>
          <w:lang w:val="en-GB"/>
        </w:rPr>
        <w:t xml:space="preserve">LNG, most of which were </w:t>
      </w:r>
      <w:r>
        <w:rPr>
          <w:sz w:val="18"/>
          <w:lang w:val="en-GB"/>
        </w:rPr>
        <w:t xml:space="preserve">located </w:t>
      </w:r>
      <w:r w:rsidRPr="008366C0">
        <w:rPr>
          <w:sz w:val="18"/>
          <w:lang w:val="en-GB"/>
        </w:rPr>
        <w:t xml:space="preserve">in </w:t>
      </w:r>
      <w:r w:rsidRPr="008366C0">
        <w:rPr>
          <w:sz w:val="18"/>
          <w:lang w:val="en-GB"/>
        </w:rPr>
        <w:lastRenderedPageBreak/>
        <w:t xml:space="preserve">Europe. </w:t>
      </w:r>
      <w:r>
        <w:rPr>
          <w:sz w:val="18"/>
          <w:lang w:val="en-GB"/>
        </w:rPr>
        <w:t>T</w:t>
      </w:r>
      <w:r w:rsidRPr="008366C0">
        <w:rPr>
          <w:sz w:val="18"/>
          <w:lang w:val="en-GB"/>
        </w:rPr>
        <w:t>wo terminals in France and one in Portugal added reloading capacity</w:t>
      </w:r>
      <w:r>
        <w:rPr>
          <w:sz w:val="18"/>
          <w:lang w:val="en-GB"/>
        </w:rPr>
        <w:t xml:space="preserve"> in 2012, leading to an increase in total European re-exports</w:t>
      </w:r>
      <w:r w:rsidRPr="008366C0">
        <w:rPr>
          <w:sz w:val="18"/>
          <w:lang w:val="en-GB"/>
        </w:rPr>
        <w:t xml:space="preserve">. In addition, the Cove Point regasification terminal in the United States has received authority to re-export cargoes, but had not done so as of </w:t>
      </w:r>
      <w:r>
        <w:rPr>
          <w:sz w:val="18"/>
          <w:lang w:val="en-GB"/>
        </w:rPr>
        <w:t>March</w:t>
      </w:r>
      <w:r w:rsidRPr="008366C0">
        <w:rPr>
          <w:sz w:val="18"/>
          <w:lang w:val="en-GB"/>
        </w:rPr>
        <w:t xml:space="preserve"> 2013.</w:t>
      </w:r>
    </w:p>
    <w:tbl>
      <w:tblPr>
        <w:tblpPr w:leftFromText="180" w:rightFromText="180" w:vertAnchor="text" w:horzAnchor="margin" w:tblpY="135"/>
        <w:tblW w:w="4975" w:type="dxa"/>
        <w:tblLayout w:type="fixed"/>
        <w:tblLook w:val="01E0"/>
      </w:tblPr>
      <w:tblGrid>
        <w:gridCol w:w="4975"/>
      </w:tblGrid>
      <w:tr w:rsidR="003C4484" w:rsidRPr="00A918C1" w:rsidTr="00E757B1">
        <w:trPr>
          <w:trHeight w:val="2938"/>
        </w:trPr>
        <w:tc>
          <w:tcPr>
            <w:tcW w:w="4975" w:type="dxa"/>
          </w:tcPr>
          <w:tbl>
            <w:tblPr>
              <w:tblStyle w:val="Grillemoyenne3-Accent3"/>
              <w:tblW w:w="4940" w:type="dxa"/>
              <w:tblLayout w:type="fixed"/>
              <w:tblCellMar>
                <w:left w:w="115" w:type="dxa"/>
                <w:right w:w="58" w:type="dxa"/>
              </w:tblCellMar>
              <w:tblLook w:val="0420"/>
            </w:tblPr>
            <w:tblGrid>
              <w:gridCol w:w="890"/>
              <w:gridCol w:w="1260"/>
              <w:gridCol w:w="1170"/>
              <w:gridCol w:w="810"/>
              <w:gridCol w:w="810"/>
            </w:tblGrid>
            <w:tr w:rsidR="003C4484" w:rsidTr="00E757B1">
              <w:trPr>
                <w:cnfStyle w:val="100000000000"/>
                <w:trHeight w:val="433"/>
              </w:trPr>
              <w:tc>
                <w:tcPr>
                  <w:tcW w:w="890" w:type="dxa"/>
                </w:tcPr>
                <w:p w:rsidR="003C4484" w:rsidRPr="008366C0" w:rsidRDefault="003C4484" w:rsidP="00E757B1">
                  <w:pPr>
                    <w:pStyle w:val="PFCBulletedText2"/>
                    <w:framePr w:hSpace="180" w:wrap="around" w:vAnchor="text" w:hAnchor="margin" w:y="135"/>
                    <w:spacing w:before="120" w:after="0"/>
                    <w:ind w:left="0" w:firstLine="0"/>
                    <w:jc w:val="left"/>
                    <w:rPr>
                      <w:noProof/>
                      <w:sz w:val="16"/>
                      <w:lang w:eastAsia="en-US"/>
                    </w:rPr>
                  </w:pPr>
                  <w:r w:rsidRPr="008366C0">
                    <w:rPr>
                      <w:noProof/>
                      <w:sz w:val="16"/>
                      <w:lang w:eastAsia="en-US"/>
                    </w:rPr>
                    <w:t>Country</w:t>
                  </w:r>
                </w:p>
              </w:tc>
              <w:tc>
                <w:tcPr>
                  <w:tcW w:w="1260" w:type="dxa"/>
                </w:tcPr>
                <w:p w:rsidR="003C4484" w:rsidRPr="008366C0" w:rsidRDefault="003C4484" w:rsidP="00E757B1">
                  <w:pPr>
                    <w:pStyle w:val="PFCBulletedText2"/>
                    <w:framePr w:hSpace="180" w:wrap="around" w:vAnchor="text" w:hAnchor="margin" w:y="135"/>
                    <w:spacing w:before="120" w:after="0"/>
                    <w:ind w:left="0" w:firstLine="0"/>
                    <w:jc w:val="left"/>
                    <w:rPr>
                      <w:noProof/>
                      <w:sz w:val="16"/>
                      <w:lang w:eastAsia="en-US"/>
                    </w:rPr>
                  </w:pPr>
                  <w:r>
                    <w:rPr>
                      <w:noProof/>
                      <w:sz w:val="16"/>
                      <w:lang w:eastAsia="en-US"/>
                    </w:rPr>
                    <w:t>Terminal</w:t>
                  </w:r>
                </w:p>
              </w:tc>
              <w:tc>
                <w:tcPr>
                  <w:tcW w:w="1170" w:type="dxa"/>
                </w:tcPr>
                <w:p w:rsidR="003C4484" w:rsidRPr="008366C0" w:rsidRDefault="003C4484" w:rsidP="00E757B1">
                  <w:pPr>
                    <w:pStyle w:val="PFCBulletedText2"/>
                    <w:framePr w:hSpace="180" w:wrap="around" w:vAnchor="text" w:hAnchor="margin" w:y="135"/>
                    <w:spacing w:before="120" w:after="0"/>
                    <w:ind w:left="0" w:firstLine="0"/>
                    <w:jc w:val="left"/>
                    <w:rPr>
                      <w:noProof/>
                      <w:sz w:val="16"/>
                      <w:lang w:eastAsia="en-US"/>
                    </w:rPr>
                  </w:pPr>
                  <w:r>
                    <w:rPr>
                      <w:noProof/>
                      <w:sz w:val="16"/>
                      <w:lang w:eastAsia="en-US"/>
                    </w:rPr>
                    <w:t>Reloading Capability</w:t>
                  </w:r>
                </w:p>
              </w:tc>
              <w:tc>
                <w:tcPr>
                  <w:tcW w:w="810" w:type="dxa"/>
                </w:tcPr>
                <w:p w:rsidR="003C4484" w:rsidRPr="008366C0" w:rsidRDefault="003C4484" w:rsidP="00E757B1">
                  <w:pPr>
                    <w:pStyle w:val="PFCBulletedText2"/>
                    <w:framePr w:hSpace="180" w:wrap="around" w:vAnchor="text" w:hAnchor="margin" w:y="135"/>
                    <w:spacing w:before="120" w:after="0"/>
                    <w:ind w:left="0" w:firstLine="0"/>
                    <w:jc w:val="left"/>
                    <w:rPr>
                      <w:noProof/>
                      <w:sz w:val="16"/>
                      <w:lang w:eastAsia="en-US"/>
                    </w:rPr>
                  </w:pPr>
                  <w:r>
                    <w:rPr>
                      <w:noProof/>
                      <w:sz w:val="16"/>
                      <w:lang w:eastAsia="en-US"/>
                    </w:rPr>
                    <w:t>Storage (mcm)</w:t>
                  </w:r>
                </w:p>
              </w:tc>
              <w:tc>
                <w:tcPr>
                  <w:tcW w:w="810" w:type="dxa"/>
                </w:tcPr>
                <w:p w:rsidR="003C4484" w:rsidRPr="008366C0" w:rsidRDefault="003C4484" w:rsidP="00E757B1">
                  <w:pPr>
                    <w:pStyle w:val="PFCBulletedText2"/>
                    <w:framePr w:hSpace="180" w:wrap="around" w:vAnchor="text" w:hAnchor="margin" w:y="135"/>
                    <w:spacing w:before="120" w:after="0"/>
                    <w:ind w:left="0" w:firstLine="0"/>
                    <w:jc w:val="left"/>
                    <w:rPr>
                      <w:noProof/>
                      <w:sz w:val="16"/>
                      <w:lang w:eastAsia="en-US"/>
                    </w:rPr>
                  </w:pPr>
                  <w:r>
                    <w:rPr>
                      <w:noProof/>
                      <w:sz w:val="16"/>
                      <w:lang w:eastAsia="en-US"/>
                    </w:rPr>
                    <w:t>No. of Jetties</w:t>
                  </w:r>
                </w:p>
              </w:tc>
            </w:tr>
            <w:tr w:rsidR="003C4484" w:rsidTr="00E757B1">
              <w:trPr>
                <w:cnfStyle w:val="00000010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Belgium</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proofErr w:type="spellStart"/>
                  <w:r w:rsidRPr="003D4380">
                    <w:rPr>
                      <w:rFonts w:eastAsia="Times New Roman" w:cs="Arial"/>
                      <w:sz w:val="16"/>
                      <w:lang w:eastAsia="en-US"/>
                    </w:rPr>
                    <w:t>Zeebrugge</w:t>
                  </w:r>
                  <w:proofErr w:type="spellEnd"/>
                </w:p>
              </w:tc>
              <w:tc>
                <w:tcPr>
                  <w:tcW w:w="1170" w:type="dxa"/>
                  <w:vAlign w:val="center"/>
                </w:tcPr>
                <w:p w:rsidR="003C4484" w:rsidRPr="003D4380" w:rsidRDefault="008D48A4" w:rsidP="00E757B1">
                  <w:pPr>
                    <w:framePr w:hSpace="180" w:wrap="around" w:vAnchor="text" w:hAnchor="margin" w:y="135"/>
                    <w:widowControl/>
                    <w:jc w:val="center"/>
                    <w:rPr>
                      <w:rFonts w:eastAsia="Times New Roman" w:cs="Arial"/>
                      <w:sz w:val="16"/>
                      <w:lang w:eastAsia="en-US"/>
                    </w:rPr>
                  </w:pPr>
                  <w:r>
                    <w:rPr>
                      <w:rFonts w:eastAsia="Times New Roman" w:cs="Arial"/>
                      <w:sz w:val="16"/>
                      <w:lang w:eastAsia="en-US"/>
                    </w:rPr>
                    <w:t>4-5</w:t>
                  </w:r>
                  <w:r w:rsidR="003C4484" w:rsidRPr="003D4380">
                    <w:rPr>
                      <w:rFonts w:eastAsia="Times New Roman" w:cs="Arial"/>
                      <w:sz w:val="16"/>
                      <w:lang w:eastAsia="en-US"/>
                    </w:rPr>
                    <w:t xml:space="preserve"> </w:t>
                  </w:r>
                  <w:proofErr w:type="spellStart"/>
                  <w:r w:rsidR="003C4484" w:rsidRPr="003D4380">
                    <w:rPr>
                      <w:rFonts w:eastAsia="Times New Roman" w:cs="Arial"/>
                      <w:sz w:val="16"/>
                      <w:lang w:eastAsia="en-US"/>
                    </w:rPr>
                    <w:t>mcm</w:t>
                  </w:r>
                  <w:proofErr w:type="spellEnd"/>
                  <w:r w:rsidR="003C4484" w:rsidRPr="003D4380">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380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r w:rsidR="003C4484" w:rsidTr="00E757B1">
              <w:trPr>
                <w:cnfStyle w:val="00000001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Brazil</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r w:rsidRPr="003D4380">
                    <w:rPr>
                      <w:rFonts w:eastAsia="Times New Roman" w:cs="Arial"/>
                      <w:sz w:val="16"/>
                      <w:lang w:eastAsia="en-US"/>
                    </w:rPr>
                    <w:t>Rio de Janeiro</w:t>
                  </w:r>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Pr>
                      <w:rFonts w:eastAsia="Times New Roman" w:cs="Arial"/>
                      <w:sz w:val="16"/>
                      <w:lang w:eastAsia="en-US"/>
                    </w:rPr>
                    <w:t>N/A</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151</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r w:rsidR="003C4484" w:rsidTr="00E757B1">
              <w:trPr>
                <w:cnfStyle w:val="00000010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France</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proofErr w:type="spellStart"/>
                  <w:r w:rsidRPr="003D4380">
                    <w:rPr>
                      <w:rFonts w:eastAsia="Times New Roman" w:cs="Arial"/>
                      <w:sz w:val="16"/>
                      <w:lang w:eastAsia="en-US"/>
                    </w:rPr>
                    <w:t>FosMax</w:t>
                  </w:r>
                  <w:proofErr w:type="spellEnd"/>
                  <w:r w:rsidRPr="003D4380">
                    <w:rPr>
                      <w:rFonts w:eastAsia="Times New Roman" w:cs="Arial"/>
                      <w:sz w:val="16"/>
                      <w:lang w:eastAsia="en-US"/>
                    </w:rPr>
                    <w:t xml:space="preserve"> LNG </w:t>
                  </w:r>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 xml:space="preserve">1.8 </w:t>
                  </w:r>
                  <w:proofErr w:type="spellStart"/>
                  <w:r w:rsidRPr="003D4380">
                    <w:rPr>
                      <w:rFonts w:eastAsia="Times New Roman" w:cs="Arial"/>
                      <w:sz w:val="16"/>
                      <w:lang w:eastAsia="en-US"/>
                    </w:rPr>
                    <w:t>mcm</w:t>
                  </w:r>
                  <w:proofErr w:type="spellEnd"/>
                  <w:r w:rsidRPr="003D4380">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330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r w:rsidR="003C4484" w:rsidTr="00E757B1">
              <w:trPr>
                <w:cnfStyle w:val="00000001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France</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proofErr w:type="spellStart"/>
                  <w:r w:rsidRPr="003D4380">
                    <w:rPr>
                      <w:rFonts w:eastAsia="Times New Roman" w:cs="Arial"/>
                      <w:sz w:val="16"/>
                      <w:lang w:eastAsia="en-US"/>
                    </w:rPr>
                    <w:t>Montoir</w:t>
                  </w:r>
                  <w:proofErr w:type="spellEnd"/>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 xml:space="preserve">4.5 </w:t>
                  </w:r>
                  <w:proofErr w:type="spellStart"/>
                  <w:r w:rsidRPr="003D4380">
                    <w:rPr>
                      <w:rFonts w:eastAsia="Times New Roman" w:cs="Arial"/>
                      <w:sz w:val="16"/>
                      <w:lang w:eastAsia="en-US"/>
                    </w:rPr>
                    <w:t>mcm</w:t>
                  </w:r>
                  <w:proofErr w:type="spellEnd"/>
                  <w:r w:rsidRPr="003D4380">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360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2</w:t>
                  </w:r>
                </w:p>
              </w:tc>
            </w:tr>
            <w:tr w:rsidR="003C4484" w:rsidTr="00E757B1">
              <w:trPr>
                <w:cnfStyle w:val="00000010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Portugal</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proofErr w:type="spellStart"/>
                  <w:r w:rsidRPr="003D4380">
                    <w:rPr>
                      <w:rFonts w:eastAsia="Times New Roman" w:cs="Arial"/>
                      <w:sz w:val="16"/>
                      <w:lang w:eastAsia="en-US"/>
                    </w:rPr>
                    <w:t>Sines</w:t>
                  </w:r>
                  <w:proofErr w:type="spellEnd"/>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Pr>
                      <w:rFonts w:eastAsia="Times New Roman" w:cs="Arial"/>
                      <w:sz w:val="16"/>
                      <w:lang w:eastAsia="en-US"/>
                    </w:rPr>
                    <w:t>N/A</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390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r w:rsidR="003C4484" w:rsidTr="00E757B1">
              <w:trPr>
                <w:cnfStyle w:val="00000001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Spain</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r w:rsidRPr="003D4380">
                    <w:rPr>
                      <w:rFonts w:eastAsia="Times New Roman" w:cs="Arial"/>
                      <w:sz w:val="16"/>
                      <w:lang w:eastAsia="en-US"/>
                    </w:rPr>
                    <w:t>Cartagena</w:t>
                  </w:r>
                </w:p>
              </w:tc>
              <w:tc>
                <w:tcPr>
                  <w:tcW w:w="1170" w:type="dxa"/>
                  <w:vAlign w:val="center"/>
                </w:tcPr>
                <w:p w:rsidR="003C4484" w:rsidRDefault="003C4484" w:rsidP="00E757B1">
                  <w:pPr>
                    <w:jc w:val="center"/>
                  </w:pPr>
                  <w:r>
                    <w:rPr>
                      <w:rFonts w:eastAsia="Times New Roman" w:cs="Arial"/>
                      <w:sz w:val="16"/>
                      <w:lang w:eastAsia="en-US"/>
                    </w:rPr>
                    <w:t xml:space="preserve">1.8 </w:t>
                  </w:r>
                  <w:proofErr w:type="spellStart"/>
                  <w:r>
                    <w:rPr>
                      <w:rFonts w:eastAsia="Times New Roman" w:cs="Arial"/>
                      <w:sz w:val="16"/>
                      <w:lang w:eastAsia="en-US"/>
                    </w:rPr>
                    <w:t>mcm</w:t>
                  </w:r>
                  <w:proofErr w:type="spellEnd"/>
                  <w:r>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587</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2</w:t>
                  </w:r>
                </w:p>
              </w:tc>
            </w:tr>
            <w:tr w:rsidR="003C4484" w:rsidTr="00E757B1">
              <w:trPr>
                <w:cnfStyle w:val="00000010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Spain</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r w:rsidRPr="003D4380">
                    <w:rPr>
                      <w:rFonts w:eastAsia="Times New Roman" w:cs="Arial"/>
                      <w:sz w:val="16"/>
                      <w:lang w:eastAsia="en-US"/>
                    </w:rPr>
                    <w:t>Huelva</w:t>
                  </w:r>
                </w:p>
              </w:tc>
              <w:tc>
                <w:tcPr>
                  <w:tcW w:w="1170" w:type="dxa"/>
                  <w:vAlign w:val="center"/>
                </w:tcPr>
                <w:p w:rsidR="003C4484" w:rsidRDefault="003C4484" w:rsidP="00E757B1">
                  <w:pPr>
                    <w:jc w:val="center"/>
                  </w:pPr>
                  <w:r>
                    <w:rPr>
                      <w:rFonts w:eastAsia="Times New Roman" w:cs="Arial"/>
                      <w:sz w:val="16"/>
                      <w:lang w:eastAsia="en-US"/>
                    </w:rPr>
                    <w:t xml:space="preserve">3.7 </w:t>
                  </w:r>
                  <w:proofErr w:type="spellStart"/>
                  <w:r>
                    <w:rPr>
                      <w:rFonts w:eastAsia="Times New Roman" w:cs="Arial"/>
                      <w:sz w:val="16"/>
                      <w:lang w:eastAsia="en-US"/>
                    </w:rPr>
                    <w:t>mcm</w:t>
                  </w:r>
                  <w:proofErr w:type="spellEnd"/>
                  <w:r>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760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r w:rsidR="003C4484" w:rsidTr="00E757B1">
              <w:trPr>
                <w:cnfStyle w:val="00000001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Spain</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proofErr w:type="spellStart"/>
                  <w:r w:rsidRPr="003D4380">
                    <w:rPr>
                      <w:rFonts w:eastAsia="Times New Roman" w:cs="Arial"/>
                      <w:sz w:val="16"/>
                      <w:lang w:eastAsia="en-US"/>
                    </w:rPr>
                    <w:t>Mugardos</w:t>
                  </w:r>
                  <w:proofErr w:type="spellEnd"/>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 xml:space="preserve">2.0 </w:t>
                  </w:r>
                  <w:proofErr w:type="spellStart"/>
                  <w:r w:rsidRPr="003D4380">
                    <w:rPr>
                      <w:rFonts w:eastAsia="Times New Roman" w:cs="Arial"/>
                      <w:sz w:val="16"/>
                      <w:lang w:eastAsia="en-US"/>
                    </w:rPr>
                    <w:t>mcm</w:t>
                  </w:r>
                  <w:proofErr w:type="spellEnd"/>
                  <w:r w:rsidRPr="003D4380">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300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r w:rsidR="003C4484" w:rsidTr="00E757B1">
              <w:trPr>
                <w:cnfStyle w:val="00000010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USA</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r w:rsidRPr="003D4380">
                    <w:rPr>
                      <w:rFonts w:eastAsia="Times New Roman" w:cs="Arial"/>
                      <w:sz w:val="16"/>
                      <w:lang w:eastAsia="en-US"/>
                    </w:rPr>
                    <w:t>Freeport</w:t>
                  </w:r>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 xml:space="preserve">2.5 </w:t>
                  </w:r>
                  <w:proofErr w:type="spellStart"/>
                  <w:r w:rsidRPr="003D4380">
                    <w:rPr>
                      <w:rFonts w:eastAsia="Times New Roman" w:cs="Arial"/>
                      <w:sz w:val="16"/>
                      <w:lang w:eastAsia="en-US"/>
                    </w:rPr>
                    <w:t>mcm</w:t>
                  </w:r>
                  <w:proofErr w:type="spellEnd"/>
                  <w:r w:rsidRPr="003D4380">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320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r w:rsidR="003C4484" w:rsidTr="00E757B1">
              <w:trPr>
                <w:cnfStyle w:val="00000001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USA</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r w:rsidRPr="003D4380">
                    <w:rPr>
                      <w:rFonts w:eastAsia="Times New Roman" w:cs="Arial"/>
                      <w:sz w:val="16"/>
                      <w:lang w:eastAsia="en-US"/>
                    </w:rPr>
                    <w:t>Sabine Pass</w:t>
                  </w:r>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 xml:space="preserve">1.5 </w:t>
                  </w:r>
                  <w:proofErr w:type="spellStart"/>
                  <w:r w:rsidRPr="003D4380">
                    <w:rPr>
                      <w:rFonts w:eastAsia="Times New Roman" w:cs="Arial"/>
                      <w:sz w:val="16"/>
                      <w:lang w:eastAsia="en-US"/>
                    </w:rPr>
                    <w:t>mcm</w:t>
                  </w:r>
                  <w:proofErr w:type="spellEnd"/>
                  <w:r w:rsidRPr="003D4380">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800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2</w:t>
                  </w:r>
                </w:p>
              </w:tc>
            </w:tr>
            <w:tr w:rsidR="003C4484" w:rsidTr="00E757B1">
              <w:trPr>
                <w:cnfStyle w:val="000000100000"/>
                <w:trHeight w:val="288"/>
              </w:trPr>
              <w:tc>
                <w:tcPr>
                  <w:tcW w:w="890" w:type="dxa"/>
                  <w:vAlign w:val="center"/>
                </w:tcPr>
                <w:p w:rsidR="003C4484" w:rsidRPr="008366C0" w:rsidRDefault="003C4484" w:rsidP="00E757B1">
                  <w:pPr>
                    <w:framePr w:hSpace="180" w:wrap="around" w:vAnchor="text" w:hAnchor="margin" w:y="135"/>
                    <w:widowControl/>
                    <w:rPr>
                      <w:rFonts w:eastAsia="Times New Roman" w:cs="Arial"/>
                      <w:sz w:val="16"/>
                      <w:lang w:eastAsia="en-US"/>
                    </w:rPr>
                  </w:pPr>
                  <w:r w:rsidRPr="008366C0">
                    <w:rPr>
                      <w:rFonts w:eastAsia="Times New Roman" w:cs="Arial"/>
                      <w:sz w:val="16"/>
                      <w:lang w:eastAsia="en-US"/>
                    </w:rPr>
                    <w:t>USA</w:t>
                  </w:r>
                </w:p>
              </w:tc>
              <w:tc>
                <w:tcPr>
                  <w:tcW w:w="1260" w:type="dxa"/>
                  <w:vAlign w:val="center"/>
                </w:tcPr>
                <w:p w:rsidR="003C4484" w:rsidRPr="003D4380" w:rsidRDefault="003C4484" w:rsidP="00E757B1">
                  <w:pPr>
                    <w:framePr w:hSpace="180" w:wrap="around" w:vAnchor="text" w:hAnchor="margin" w:y="135"/>
                    <w:widowControl/>
                    <w:rPr>
                      <w:rFonts w:eastAsia="Times New Roman" w:cs="Arial"/>
                      <w:sz w:val="16"/>
                      <w:lang w:eastAsia="en-US"/>
                    </w:rPr>
                  </w:pPr>
                  <w:r w:rsidRPr="003D4380">
                    <w:rPr>
                      <w:rFonts w:eastAsia="Times New Roman" w:cs="Arial"/>
                      <w:sz w:val="16"/>
                      <w:lang w:eastAsia="en-US"/>
                    </w:rPr>
                    <w:t>Cameron</w:t>
                  </w:r>
                </w:p>
              </w:tc>
              <w:tc>
                <w:tcPr>
                  <w:tcW w:w="117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 xml:space="preserve">0.9 </w:t>
                  </w:r>
                  <w:proofErr w:type="spellStart"/>
                  <w:r w:rsidRPr="003D4380">
                    <w:rPr>
                      <w:rFonts w:eastAsia="Times New Roman" w:cs="Arial"/>
                      <w:sz w:val="16"/>
                      <w:lang w:eastAsia="en-US"/>
                    </w:rPr>
                    <w:t>mcm</w:t>
                  </w:r>
                  <w:proofErr w:type="spellEnd"/>
                  <w:r w:rsidRPr="003D4380">
                    <w:rPr>
                      <w:rFonts w:eastAsia="Times New Roman" w:cs="Arial"/>
                      <w:sz w:val="16"/>
                      <w:lang w:eastAsia="en-US"/>
                    </w:rPr>
                    <w:t>/h*</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480</w:t>
                  </w:r>
                </w:p>
              </w:tc>
              <w:tc>
                <w:tcPr>
                  <w:tcW w:w="810" w:type="dxa"/>
                  <w:vAlign w:val="center"/>
                </w:tcPr>
                <w:p w:rsidR="003C4484" w:rsidRPr="003D4380" w:rsidRDefault="003C4484" w:rsidP="00E757B1">
                  <w:pPr>
                    <w:framePr w:hSpace="180" w:wrap="around" w:vAnchor="text" w:hAnchor="margin" w:y="135"/>
                    <w:widowControl/>
                    <w:jc w:val="center"/>
                    <w:rPr>
                      <w:rFonts w:eastAsia="Times New Roman" w:cs="Arial"/>
                      <w:sz w:val="16"/>
                      <w:lang w:eastAsia="en-US"/>
                    </w:rPr>
                  </w:pPr>
                  <w:r w:rsidRPr="003D4380">
                    <w:rPr>
                      <w:rFonts w:eastAsia="Times New Roman" w:cs="Arial"/>
                      <w:sz w:val="16"/>
                      <w:lang w:eastAsia="en-US"/>
                    </w:rPr>
                    <w:t>1</w:t>
                  </w:r>
                </w:p>
              </w:tc>
            </w:tr>
          </w:tbl>
          <w:p w:rsidR="003C4484" w:rsidRDefault="003C4484" w:rsidP="00E757B1">
            <w:pPr>
              <w:pStyle w:val="PFCBulletedText2"/>
              <w:ind w:left="0" w:firstLine="0"/>
              <w:jc w:val="left"/>
              <w:rPr>
                <w:b/>
                <w:bCs/>
                <w:color w:val="141313" w:themeColor="text1"/>
                <w:sz w:val="18"/>
                <w:szCs w:val="18"/>
                <w:lang w:val="en-GB"/>
              </w:rPr>
            </w:pPr>
            <w:r>
              <w:rPr>
                <w:b/>
                <w:sz w:val="18"/>
                <w:szCs w:val="18"/>
              </w:rPr>
              <w:t xml:space="preserve">Table </w:t>
            </w:r>
            <w:r w:rsidR="004C2905">
              <w:rPr>
                <w:b/>
                <w:sz w:val="18"/>
                <w:szCs w:val="18"/>
              </w:rPr>
              <w:t>5.</w:t>
            </w:r>
            <w:r>
              <w:rPr>
                <w:b/>
                <w:sz w:val="18"/>
                <w:szCs w:val="18"/>
              </w:rPr>
              <w:t>1</w:t>
            </w:r>
            <w:r w:rsidRPr="00AD0BCD">
              <w:rPr>
                <w:b/>
                <w:color w:val="141313" w:themeColor="text1"/>
                <w:sz w:val="18"/>
                <w:szCs w:val="18"/>
              </w:rPr>
              <w:t xml:space="preserve">:  </w:t>
            </w:r>
            <w:r w:rsidRPr="00AD0BCD">
              <w:rPr>
                <w:rFonts w:eastAsia="SimSun"/>
                <w:b/>
                <w:smallCaps/>
                <w:color w:val="141313" w:themeColor="text1"/>
                <w:lang w:val="en-GB"/>
              </w:rPr>
              <w:t xml:space="preserve"> </w:t>
            </w:r>
            <w:r w:rsidRPr="00E07EB2">
              <w:rPr>
                <w:rFonts w:eastAsia="SimSun"/>
                <w:b/>
                <w:bCs/>
                <w:smallCaps/>
                <w:lang w:val="en-GB"/>
              </w:rPr>
              <w:t xml:space="preserve"> </w:t>
            </w:r>
            <w:r w:rsidRPr="00E07EB2">
              <w:rPr>
                <w:rFonts w:eastAsia="SimSun"/>
                <w:b/>
                <w:smallCaps/>
                <w:lang w:val="en-GB"/>
              </w:rPr>
              <w:t xml:space="preserve"> </w:t>
            </w:r>
            <w:r>
              <w:rPr>
                <w:b/>
                <w:bCs/>
                <w:color w:val="141313" w:themeColor="text1"/>
                <w:sz w:val="18"/>
                <w:szCs w:val="18"/>
                <w:lang w:val="en-GB"/>
              </w:rPr>
              <w:t>Regasification Terminals with Reloading Capabilities in 2012</w:t>
            </w:r>
          </w:p>
          <w:p w:rsidR="003C4484" w:rsidRPr="003D4380" w:rsidRDefault="003C4484" w:rsidP="00E757B1">
            <w:pPr>
              <w:pStyle w:val="PFCBulletedText2"/>
              <w:ind w:left="0" w:firstLine="0"/>
              <w:jc w:val="left"/>
              <w:rPr>
                <w:i/>
                <w:sz w:val="16"/>
                <w:szCs w:val="16"/>
              </w:rPr>
            </w:pPr>
            <w:r w:rsidRPr="003D4380">
              <w:rPr>
                <w:i/>
                <w:sz w:val="16"/>
                <w:szCs w:val="16"/>
              </w:rPr>
              <w:t>* Reloading capacity permitted by the US Department of Energy.</w:t>
            </w:r>
          </w:p>
          <w:p w:rsidR="003C4484" w:rsidRPr="003D4380" w:rsidRDefault="003C4484" w:rsidP="00E757B1">
            <w:pPr>
              <w:pStyle w:val="PFCBulletedText2"/>
              <w:ind w:left="0" w:firstLine="0"/>
              <w:jc w:val="left"/>
              <w:rPr>
                <w:i/>
                <w:sz w:val="16"/>
                <w:szCs w:val="16"/>
              </w:rPr>
            </w:pPr>
            <w:r w:rsidRPr="003D4380">
              <w:rPr>
                <w:i/>
                <w:sz w:val="16"/>
                <w:szCs w:val="16"/>
              </w:rPr>
              <w:t>Note: Some terminal</w:t>
            </w:r>
            <w:r>
              <w:rPr>
                <w:i/>
                <w:sz w:val="16"/>
                <w:szCs w:val="16"/>
              </w:rPr>
              <w:t xml:space="preserve"> operators</w:t>
            </w:r>
            <w:r w:rsidRPr="003D4380">
              <w:rPr>
                <w:i/>
                <w:sz w:val="16"/>
                <w:szCs w:val="16"/>
              </w:rPr>
              <w:t xml:space="preserve"> have not publically </w:t>
            </w:r>
            <w:r>
              <w:rPr>
                <w:i/>
                <w:sz w:val="16"/>
                <w:szCs w:val="16"/>
              </w:rPr>
              <w:t>disclosed</w:t>
            </w:r>
            <w:r w:rsidRPr="003D4380">
              <w:rPr>
                <w:i/>
                <w:sz w:val="16"/>
                <w:szCs w:val="16"/>
              </w:rPr>
              <w:t xml:space="preserve"> re-loading capability information.  </w:t>
            </w:r>
          </w:p>
          <w:p w:rsidR="003C4484" w:rsidRPr="002055A2" w:rsidRDefault="003C4484" w:rsidP="00E757B1">
            <w:pPr>
              <w:pStyle w:val="PFCBulletedText2"/>
              <w:ind w:left="0" w:firstLine="0"/>
              <w:jc w:val="left"/>
              <w:rPr>
                <w:b/>
                <w:sz w:val="18"/>
                <w:szCs w:val="18"/>
              </w:rPr>
            </w:pPr>
            <w:r>
              <w:rPr>
                <w:i/>
                <w:color w:val="FF0000"/>
                <w:sz w:val="16"/>
                <w:szCs w:val="16"/>
              </w:rPr>
              <w:t xml:space="preserve"> </w:t>
            </w:r>
            <w:r>
              <w:rPr>
                <w:i/>
                <w:sz w:val="16"/>
                <w:szCs w:val="16"/>
              </w:rPr>
              <w:t>S</w:t>
            </w:r>
            <w:r w:rsidRPr="005733C3">
              <w:rPr>
                <w:i/>
                <w:sz w:val="16"/>
                <w:szCs w:val="16"/>
              </w:rPr>
              <w:t>ources: PFC Energy Global LNG Service</w:t>
            </w:r>
          </w:p>
        </w:tc>
      </w:tr>
    </w:tbl>
    <w:p w:rsidR="003C4484" w:rsidRDefault="003C4484" w:rsidP="003C4484">
      <w:pPr>
        <w:framePr w:hSpace="180" w:wrap="around" w:vAnchor="text" w:hAnchor="margin" w:y="2615"/>
        <w:spacing w:line="252" w:lineRule="auto"/>
        <w:ind w:left="180"/>
        <w:jc w:val="both"/>
        <w:rPr>
          <w:sz w:val="18"/>
          <w:lang w:val="en-GB"/>
        </w:rPr>
      </w:pPr>
    </w:p>
    <w:p w:rsidR="003C4484" w:rsidRPr="00C401C6" w:rsidRDefault="003C4484" w:rsidP="00C401C6">
      <w:pPr>
        <w:spacing w:line="252" w:lineRule="auto"/>
        <w:ind w:left="180"/>
        <w:jc w:val="both"/>
        <w:rPr>
          <w:color w:val="141313" w:themeColor="text1"/>
          <w:sz w:val="18"/>
          <w:lang w:val="en-GB"/>
        </w:rPr>
      </w:pPr>
      <w:r w:rsidRPr="00AF6B51">
        <w:rPr>
          <w:color w:val="141313" w:themeColor="text1"/>
          <w:sz w:val="18"/>
          <w:lang w:val="en-GB"/>
        </w:rPr>
        <w:t>In 2012, 74 re-exported cargoes were imported for a total of 3.5 MTPA. Belgium and Spain were the primary sources for re-exported cargoes, accounting for 71% of the total market; this represents a significant change from 2011, when the two countries accounted for just 43% of total re-exports. In the United States, re-exports fell considerably relative to 2011 (from 1.2 MTPA to 0.5 MTPA) as domestic gas prices were too low to incentiv</w:t>
      </w:r>
      <w:r w:rsidR="001B55B3">
        <w:rPr>
          <w:color w:val="141313" w:themeColor="text1"/>
          <w:sz w:val="18"/>
          <w:lang w:val="en-GB"/>
        </w:rPr>
        <w:t>iz</w:t>
      </w:r>
      <w:r w:rsidRPr="00AF6B51">
        <w:rPr>
          <w:color w:val="141313" w:themeColor="text1"/>
          <w:sz w:val="18"/>
          <w:lang w:val="en-GB"/>
        </w:rPr>
        <w:t xml:space="preserve">e excess initial LNG imports into the country. </w:t>
      </w:r>
    </w:p>
    <w:p w:rsidR="003C4484" w:rsidRPr="00031809" w:rsidRDefault="003C4484" w:rsidP="00C401C6">
      <w:pPr>
        <w:pStyle w:val="Titre2"/>
        <w:ind w:firstLine="180"/>
        <w:rPr>
          <w:lang w:val="en-GB"/>
        </w:rPr>
      </w:pPr>
      <w:bookmarkStart w:id="31" w:name="_Toc360628252"/>
      <w:r>
        <w:rPr>
          <w:lang w:val="en-GB"/>
        </w:rPr>
        <w:t>5.9</w:t>
      </w:r>
      <w:r w:rsidRPr="00031809">
        <w:rPr>
          <w:lang w:val="en-GB"/>
        </w:rPr>
        <w:t xml:space="preserve"> </w:t>
      </w:r>
      <w:r w:rsidRPr="00D268F7">
        <w:rPr>
          <w:lang w:val="en-GB"/>
        </w:rPr>
        <w:t>PROJECT CAPEX</w:t>
      </w:r>
      <w:bookmarkEnd w:id="31"/>
    </w:p>
    <w:p w:rsidR="003C4484" w:rsidRPr="007B017B" w:rsidRDefault="003C4484" w:rsidP="003C4484">
      <w:pPr>
        <w:spacing w:line="252" w:lineRule="auto"/>
        <w:ind w:left="180"/>
        <w:jc w:val="both"/>
        <w:rPr>
          <w:color w:val="80379B" w:themeColor="accent6"/>
          <w:sz w:val="18"/>
          <w:lang w:val="en-GB"/>
        </w:rPr>
      </w:pPr>
    </w:p>
    <w:p w:rsidR="003C4484" w:rsidRPr="00F77E39" w:rsidRDefault="003C4484" w:rsidP="003C4484">
      <w:pPr>
        <w:spacing w:line="252" w:lineRule="auto"/>
        <w:ind w:left="180"/>
        <w:jc w:val="both"/>
        <w:rPr>
          <w:color w:val="141313" w:themeColor="text1"/>
          <w:sz w:val="18"/>
          <w:lang w:val="en-GB"/>
        </w:rPr>
      </w:pPr>
      <w:r w:rsidRPr="00F77E39">
        <w:rPr>
          <w:color w:val="141313" w:themeColor="text1"/>
          <w:sz w:val="18"/>
          <w:lang w:val="en-GB"/>
        </w:rPr>
        <w:t xml:space="preserve">The total cost of regasification projects (including berthing, storage, regasification, send-out pipelines, and metering) has been trending upwards, though a much larger cost escalation is expected over the next decade. The weighted average unit cost of onshore regasification coming online in 2013 based on a three-year moving average is $187/ton of import capacity.  This is more than double the cost in 2004, and is a significant uptick from the cost in 2011 of $145/ton. </w:t>
      </w:r>
    </w:p>
    <w:p w:rsidR="003C4484" w:rsidRPr="00F77E39" w:rsidRDefault="003C4484" w:rsidP="003C4484">
      <w:pPr>
        <w:spacing w:line="252" w:lineRule="auto"/>
        <w:ind w:left="180"/>
        <w:jc w:val="both"/>
        <w:rPr>
          <w:color w:val="141313" w:themeColor="text1"/>
          <w:sz w:val="18"/>
          <w:lang w:val="en-GB"/>
        </w:rPr>
      </w:pPr>
    </w:p>
    <w:p w:rsidR="003C4484" w:rsidRPr="00F77E39" w:rsidRDefault="003C4484" w:rsidP="003C4484">
      <w:pPr>
        <w:spacing w:line="252" w:lineRule="auto"/>
        <w:ind w:left="180"/>
        <w:jc w:val="both"/>
        <w:rPr>
          <w:color w:val="141313" w:themeColor="text1"/>
          <w:sz w:val="18"/>
          <w:lang w:val="en-GB"/>
        </w:rPr>
      </w:pPr>
      <w:r w:rsidRPr="00F77E39">
        <w:rPr>
          <w:color w:val="141313" w:themeColor="text1"/>
          <w:sz w:val="18"/>
          <w:lang w:val="en-GB"/>
        </w:rPr>
        <w:t xml:space="preserve">In 2013, the weighted average unit cost of floating regasification was $135/ton, a slight decrease from 2011 ($148/ton) as costs of the relatively new systems went down. However, the upward trend in storage capacity for newer terminals is largely driving overall regasification costs up.  Going forward, the unit cost of floating regasification is expected to hit ~$200/ton in 2016.    </w:t>
      </w:r>
    </w:p>
    <w:tbl>
      <w:tblPr>
        <w:tblpPr w:leftFromText="180" w:rightFromText="180" w:vertAnchor="text" w:horzAnchor="margin" w:tblpXSpec="right" w:tblpY="107"/>
        <w:tblW w:w="4975" w:type="dxa"/>
        <w:tblLayout w:type="fixed"/>
        <w:tblLook w:val="01E0"/>
      </w:tblPr>
      <w:tblGrid>
        <w:gridCol w:w="4975"/>
      </w:tblGrid>
      <w:tr w:rsidR="003C4484" w:rsidRPr="00A918C1" w:rsidTr="00E757B1">
        <w:trPr>
          <w:trHeight w:val="2938"/>
        </w:trPr>
        <w:tc>
          <w:tcPr>
            <w:tcW w:w="4975" w:type="dxa"/>
          </w:tcPr>
          <w:p w:rsidR="003C4484" w:rsidRDefault="003C4484" w:rsidP="00E757B1">
            <w:pPr>
              <w:pStyle w:val="PFCBulletedText2"/>
              <w:spacing w:before="120" w:after="0"/>
              <w:ind w:left="0" w:firstLine="0"/>
              <w:jc w:val="left"/>
              <w:rPr>
                <w:noProof/>
                <w:lang w:eastAsia="en-US"/>
              </w:rPr>
            </w:pPr>
            <w:r>
              <w:rPr>
                <w:noProof/>
                <w:lang w:val="fr-FR" w:eastAsia="zh-CN"/>
              </w:rPr>
              <w:drawing>
                <wp:inline distT="0" distB="0" distL="0" distR="0">
                  <wp:extent cx="3019425" cy="2070100"/>
                  <wp:effectExtent l="19050" t="0" r="9525" b="0"/>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3019425" cy="2070100"/>
                          </a:xfrm>
                          <a:prstGeom prst="rect">
                            <a:avLst/>
                          </a:prstGeom>
                          <a:noFill/>
                          <a:ln w="9525">
                            <a:noFill/>
                            <a:miter lim="800000"/>
                            <a:headEnd/>
                            <a:tailEnd/>
                          </a:ln>
                        </pic:spPr>
                      </pic:pic>
                    </a:graphicData>
                  </a:graphic>
                </wp:inline>
              </w:drawing>
            </w:r>
          </w:p>
          <w:p w:rsidR="003C4484" w:rsidRDefault="003C4484" w:rsidP="00E757B1">
            <w:pPr>
              <w:pStyle w:val="PFCBulletedText2"/>
              <w:ind w:left="0" w:firstLine="0"/>
              <w:jc w:val="left"/>
              <w:rPr>
                <w:b/>
                <w:bCs/>
                <w:color w:val="141313" w:themeColor="text1"/>
                <w:sz w:val="18"/>
                <w:szCs w:val="18"/>
                <w:lang w:val="en-GB"/>
              </w:rPr>
            </w:pPr>
            <w:r>
              <w:rPr>
                <w:b/>
                <w:sz w:val="18"/>
                <w:szCs w:val="18"/>
              </w:rPr>
              <w:t xml:space="preserve">Figure </w:t>
            </w:r>
            <w:r w:rsidR="004C2905">
              <w:rPr>
                <w:b/>
                <w:sz w:val="18"/>
                <w:szCs w:val="18"/>
              </w:rPr>
              <w:t>5.</w:t>
            </w:r>
            <w:r>
              <w:rPr>
                <w:b/>
                <w:color w:val="141313" w:themeColor="text1"/>
                <w:sz w:val="18"/>
                <w:szCs w:val="18"/>
              </w:rPr>
              <w:t>12: Regasification Costs based on Project Start Dates, 2004-2016</w:t>
            </w:r>
          </w:p>
          <w:p w:rsidR="003C4484" w:rsidRPr="002055A2" w:rsidRDefault="003C4484" w:rsidP="00E757B1">
            <w:pPr>
              <w:pStyle w:val="PFCBulletedText2"/>
              <w:ind w:left="0" w:firstLine="0"/>
              <w:jc w:val="left"/>
              <w:rPr>
                <w:b/>
                <w:sz w:val="18"/>
                <w:szCs w:val="18"/>
              </w:rPr>
            </w:pPr>
            <w:r>
              <w:rPr>
                <w:i/>
                <w:sz w:val="16"/>
                <w:szCs w:val="16"/>
              </w:rPr>
              <w:t>S</w:t>
            </w:r>
            <w:r w:rsidRPr="005733C3">
              <w:rPr>
                <w:i/>
                <w:sz w:val="16"/>
                <w:szCs w:val="16"/>
              </w:rPr>
              <w:t>ources: PFC Energy Global LNG Service</w:t>
            </w:r>
            <w:r>
              <w:rPr>
                <w:i/>
                <w:sz w:val="16"/>
                <w:szCs w:val="16"/>
              </w:rPr>
              <w:t>, Company Announcements</w:t>
            </w:r>
          </w:p>
        </w:tc>
      </w:tr>
    </w:tbl>
    <w:p w:rsidR="003C4484" w:rsidRPr="007B017B" w:rsidRDefault="003C4484" w:rsidP="003C4484">
      <w:pPr>
        <w:spacing w:line="252" w:lineRule="auto"/>
        <w:ind w:left="180"/>
        <w:jc w:val="both"/>
        <w:rPr>
          <w:color w:val="80379B" w:themeColor="accent6"/>
          <w:sz w:val="18"/>
          <w:lang w:val="en-GB"/>
        </w:rPr>
      </w:pPr>
    </w:p>
    <w:p w:rsidR="003C4484" w:rsidRDefault="003C4484" w:rsidP="003C4484">
      <w:pPr>
        <w:spacing w:line="252" w:lineRule="auto"/>
        <w:ind w:left="180"/>
        <w:jc w:val="both"/>
        <w:rPr>
          <w:color w:val="80379B" w:themeColor="accent6"/>
          <w:sz w:val="18"/>
          <w:lang w:val="en-GB"/>
        </w:rPr>
      </w:pPr>
    </w:p>
    <w:p w:rsidR="003C4484" w:rsidRPr="001153B1" w:rsidRDefault="003C4484" w:rsidP="003843DC">
      <w:pPr>
        <w:spacing w:line="252" w:lineRule="auto"/>
        <w:jc w:val="both"/>
        <w:rPr>
          <w:b/>
          <w:bCs/>
          <w:color w:val="141313" w:themeColor="text1"/>
          <w:sz w:val="18"/>
          <w:szCs w:val="22"/>
          <w:lang w:val="en-GB"/>
        </w:rPr>
      </w:pPr>
      <w:r w:rsidRPr="001153B1">
        <w:rPr>
          <w:b/>
          <w:bCs/>
          <w:color w:val="141313" w:themeColor="text1"/>
          <w:sz w:val="18"/>
          <w:szCs w:val="22"/>
          <w:lang w:val="en-GB"/>
        </w:rPr>
        <w:br w:type="page"/>
      </w:r>
    </w:p>
    <w:p w:rsidR="003C4484" w:rsidRDefault="003C4484" w:rsidP="003C4484">
      <w:pPr>
        <w:jc w:val="both"/>
        <w:rPr>
          <w:b/>
          <w:i/>
          <w:sz w:val="18"/>
          <w:szCs w:val="22"/>
          <w:lang w:val="en-GB"/>
        </w:rPr>
      </w:pPr>
    </w:p>
    <w:p w:rsidR="003C4484" w:rsidRPr="001D118A" w:rsidRDefault="00073EEA" w:rsidP="003C4484">
      <w:pPr>
        <w:jc w:val="both"/>
        <w:rPr>
          <w:b/>
          <w:i/>
          <w:sz w:val="18"/>
          <w:szCs w:val="22"/>
          <w:lang w:val="en-GB"/>
        </w:rPr>
      </w:pPr>
      <w:r w:rsidRPr="00073EEA">
        <w:rPr>
          <w:noProof/>
          <w:lang w:eastAsia="en-US"/>
        </w:rPr>
        <w:lastRenderedPageBreak/>
        <w:pict>
          <v:shape id="_x0000_s1057" type="#_x0000_t202" style="position:absolute;left:0;text-align:left;margin-left:-19.1pt;margin-top:-4.45pt;width:30pt;height:115.6pt;z-index:251656192;mso-wrap-edited:f;mso-width-relative:margin;mso-height-relative:margin" wrapcoords="0 0 21600 0 21600 21600 0 21600 0 0" filled="f" stroked="f" strokecolor="silver">
            <v:fill o:detectmouseclick="t"/>
            <v:textbox style="layout-flow:vertical;mso-layout-flow-alt:bottom-to-top;mso-next-textbox:#_x0000_s1057" inset=",7.2pt,,7.2pt">
              <w:txbxContent>
                <w:p w:rsidR="00856114" w:rsidRPr="007312CB" w:rsidRDefault="00856114" w:rsidP="003C4484">
                  <w:pPr>
                    <w:pageBreakBefore/>
                    <w:jc w:val="right"/>
                    <w:rPr>
                      <w:b/>
                      <w:i/>
                      <w:color w:val="215A99"/>
                      <w:sz w:val="24"/>
                      <w:szCs w:val="22"/>
                      <w:lang w:val="en-GB"/>
                    </w:rPr>
                  </w:pPr>
                  <w:r w:rsidRPr="007312CB">
                    <w:rPr>
                      <w:b/>
                      <w:i/>
                      <w:color w:val="215A99"/>
                      <w:sz w:val="24"/>
                      <w:szCs w:val="22"/>
                      <w:lang w:val="en-GB"/>
                    </w:rPr>
                    <w:t>Looking Ahead:</w:t>
                  </w:r>
                </w:p>
                <w:p w:rsidR="00856114" w:rsidRPr="007312CB" w:rsidRDefault="00856114" w:rsidP="003C4484">
                  <w:pPr>
                    <w:rPr>
                      <w:color w:val="215A99"/>
                      <w:sz w:val="28"/>
                    </w:rPr>
                  </w:pPr>
                </w:p>
              </w:txbxContent>
            </v:textbox>
            <w10:wrap type="through"/>
          </v:shape>
        </w:pict>
      </w:r>
    </w:p>
    <w:p w:rsidR="003C4484" w:rsidRDefault="003C4484" w:rsidP="003C4484">
      <w:pPr>
        <w:tabs>
          <w:tab w:val="left" w:pos="720"/>
        </w:tabs>
        <w:ind w:left="630"/>
        <w:jc w:val="both"/>
        <w:rPr>
          <w:b/>
          <w:i/>
          <w:color w:val="1B82CE" w:themeColor="accent3"/>
          <w:sz w:val="18"/>
          <w:szCs w:val="22"/>
          <w:lang w:val="en-GB"/>
        </w:rPr>
        <w:sectPr w:rsidR="003C4484" w:rsidSect="00D77416">
          <w:type w:val="continuous"/>
          <w:pgSz w:w="12240" w:h="15840" w:code="1"/>
          <w:pgMar w:top="1728" w:right="1080" w:bottom="1080" w:left="1008" w:header="720" w:footer="504" w:gutter="0"/>
          <w:cols w:num="2" w:space="432"/>
          <w:titlePg/>
          <w:docGrid w:linePitch="272"/>
        </w:sectPr>
      </w:pPr>
    </w:p>
    <w:p w:rsidR="003C4484" w:rsidRPr="002E3463" w:rsidRDefault="00073EEA" w:rsidP="003C4484">
      <w:pPr>
        <w:spacing w:line="252" w:lineRule="auto"/>
        <w:ind w:left="630"/>
        <w:jc w:val="both"/>
        <w:rPr>
          <w:b/>
          <w:i/>
          <w:color w:val="215A99"/>
          <w:sz w:val="18"/>
          <w:szCs w:val="22"/>
          <w:lang w:val="en-GB"/>
        </w:rPr>
      </w:pPr>
      <w:r w:rsidRPr="00073EEA">
        <w:rPr>
          <w:b/>
          <w:i/>
          <w:noProof/>
          <w:color w:val="215A99"/>
          <w:sz w:val="18"/>
          <w:szCs w:val="22"/>
          <w:lang w:eastAsia="en-US"/>
        </w:rPr>
        <w:pict>
          <v:line id="_x0000_s1079" style="position:absolute;left:0;text-align:left;flip:y;z-index:251665408;visibility:visible" from="-9pt,1.5pt" to="-9pt,258.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" strokecolor="#215a99" strokeweight="2pt">
            <v:shadow opacity="24903f" origin=",.5" offset="0,.55556mm"/>
          </v:line>
        </w:pict>
      </w:r>
      <w:r w:rsidR="003C4484" w:rsidRPr="002E3463">
        <w:rPr>
          <w:b/>
          <w:i/>
          <w:color w:val="215A99"/>
          <w:sz w:val="18"/>
          <w:szCs w:val="22"/>
          <w:lang w:val="en-GB"/>
        </w:rPr>
        <w:t xml:space="preserve">How quickly will the LNG import market continue to diversify? </w:t>
      </w:r>
      <w:r w:rsidR="003C4484" w:rsidRPr="002E3463">
        <w:rPr>
          <w:i/>
          <w:color w:val="215A99"/>
          <w:sz w:val="18"/>
          <w:szCs w:val="22"/>
          <w:lang w:val="en-GB"/>
        </w:rPr>
        <w:t xml:space="preserve">LNG demand from emerging markets continued to grow in 2012. </w:t>
      </w:r>
      <w:r w:rsidR="00FF514B" w:rsidRPr="002E3463">
        <w:rPr>
          <w:i/>
          <w:color w:val="215A99"/>
          <w:sz w:val="18"/>
          <w:szCs w:val="22"/>
          <w:lang w:val="en-GB"/>
        </w:rPr>
        <w:t xml:space="preserve">The number of </w:t>
      </w:r>
      <w:r w:rsidR="00FF514B" w:rsidRPr="00F926CA">
        <w:rPr>
          <w:i/>
          <w:color w:val="215A99"/>
          <w:sz w:val="18"/>
          <w:szCs w:val="22"/>
          <w:lang w:val="en-GB"/>
        </w:rPr>
        <w:t xml:space="preserve">LNG consuming countries grew as Indonesia opened its first regasification terminal. New markets took in almost 15 mmtons of LNG, a 36% increase over 2011 and a 6.2% global market share. Further, in the first half of 2013, Israel, Malaysia and Singapore began importing LNG. </w:t>
      </w:r>
      <w:r w:rsidR="003C4484" w:rsidRPr="00F926CA">
        <w:rPr>
          <w:i/>
          <w:color w:val="215A99"/>
          <w:sz w:val="18"/>
          <w:szCs w:val="22"/>
          <w:lang w:val="en-GB"/>
        </w:rPr>
        <w:t>Over 25 new</w:t>
      </w:r>
      <w:r w:rsidR="003C4484" w:rsidRPr="002E3463">
        <w:rPr>
          <w:i/>
          <w:color w:val="215A99"/>
          <w:sz w:val="18"/>
          <w:szCs w:val="22"/>
          <w:lang w:val="en-GB"/>
        </w:rPr>
        <w:t xml:space="preserve"> countries have proposed building regasification capacity by 2017, and the speed and ability of countries to bring these plans to fruition will greatly affect the geography of LNG demand. </w:t>
      </w:r>
    </w:p>
    <w:p w:rsidR="003C4484" w:rsidRPr="007312CB" w:rsidRDefault="003C4484" w:rsidP="003C4484">
      <w:pPr>
        <w:spacing w:line="252" w:lineRule="auto"/>
        <w:ind w:left="630"/>
        <w:jc w:val="both"/>
        <w:rPr>
          <w:b/>
          <w:i/>
          <w:color w:val="215A99"/>
          <w:sz w:val="18"/>
          <w:szCs w:val="22"/>
          <w:lang w:val="en-GB"/>
        </w:rPr>
      </w:pPr>
    </w:p>
    <w:p w:rsidR="003C4484" w:rsidRPr="002E3463" w:rsidRDefault="003C4484" w:rsidP="003C4484">
      <w:pPr>
        <w:spacing w:line="252" w:lineRule="auto"/>
        <w:ind w:left="630"/>
        <w:jc w:val="both"/>
        <w:rPr>
          <w:b/>
          <w:i/>
          <w:color w:val="215A99"/>
          <w:sz w:val="18"/>
          <w:szCs w:val="22"/>
          <w:lang w:val="en-GB"/>
        </w:rPr>
      </w:pPr>
      <w:r w:rsidRPr="002E3463">
        <w:rPr>
          <w:b/>
          <w:i/>
          <w:color w:val="215A99"/>
          <w:sz w:val="18"/>
          <w:szCs w:val="22"/>
          <w:lang w:val="en-GB"/>
        </w:rPr>
        <w:t xml:space="preserve">Will floating regasification continue to impact the number of LNG importers?  </w:t>
      </w:r>
      <w:r w:rsidRPr="002E3463">
        <w:rPr>
          <w:i/>
          <w:color w:val="215A99"/>
          <w:sz w:val="18"/>
          <w:szCs w:val="22"/>
          <w:lang w:val="en-GB"/>
        </w:rPr>
        <w:t xml:space="preserve">Several emerging markets have used floating regasification terminals as a way to quickly meet growing gas demand, and the </w:t>
      </w:r>
      <w:r>
        <w:rPr>
          <w:i/>
          <w:color w:val="215A99"/>
          <w:sz w:val="18"/>
          <w:szCs w:val="22"/>
          <w:lang w:val="en-GB"/>
        </w:rPr>
        <w:t>system</w:t>
      </w:r>
      <w:r w:rsidRPr="002E3463">
        <w:rPr>
          <w:i/>
          <w:color w:val="215A99"/>
          <w:sz w:val="18"/>
          <w:szCs w:val="22"/>
          <w:lang w:val="en-GB"/>
        </w:rPr>
        <w:t xml:space="preserve"> is proposed to be used in many more. </w:t>
      </w:r>
      <w:r w:rsidRPr="00F77E39">
        <w:rPr>
          <w:i/>
          <w:color w:val="215A99"/>
          <w:sz w:val="18"/>
          <w:szCs w:val="22"/>
          <w:lang w:val="en-GB"/>
        </w:rPr>
        <w:t xml:space="preserve">Due to increased interest in floating, a number of floating schemes have been proposed, and there </w:t>
      </w:r>
      <w:r w:rsidR="00FF514B">
        <w:rPr>
          <w:i/>
          <w:color w:val="215A99"/>
          <w:sz w:val="18"/>
          <w:szCs w:val="22"/>
          <w:lang w:val="en-GB"/>
        </w:rPr>
        <w:t xml:space="preserve">are currently two types of </w:t>
      </w:r>
      <w:r w:rsidR="00FF514B" w:rsidRPr="00F926CA">
        <w:rPr>
          <w:i/>
          <w:color w:val="215A99"/>
          <w:sz w:val="18"/>
          <w:szCs w:val="22"/>
          <w:lang w:val="en-GB"/>
        </w:rPr>
        <w:t>FSRUs</w:t>
      </w:r>
      <w:r w:rsidRPr="00F77E39">
        <w:rPr>
          <w:i/>
          <w:color w:val="215A99"/>
          <w:sz w:val="18"/>
          <w:szCs w:val="22"/>
          <w:lang w:val="en-GB"/>
        </w:rPr>
        <w:t>, as well as one offshore type</w:t>
      </w:r>
      <w:r>
        <w:rPr>
          <w:i/>
          <w:color w:val="215A99"/>
          <w:sz w:val="18"/>
          <w:szCs w:val="22"/>
          <w:lang w:val="en-GB"/>
        </w:rPr>
        <w:t xml:space="preserve">. </w:t>
      </w:r>
      <w:r w:rsidRPr="002E3463">
        <w:rPr>
          <w:i/>
          <w:color w:val="215A99"/>
          <w:sz w:val="18"/>
          <w:szCs w:val="22"/>
          <w:lang w:val="en-GB"/>
        </w:rPr>
        <w:t>Due to the speed and relative ease of brin</w:t>
      </w:r>
      <w:r w:rsidR="001B55B3">
        <w:rPr>
          <w:i/>
          <w:color w:val="215A99"/>
          <w:sz w:val="18"/>
          <w:szCs w:val="22"/>
          <w:lang w:val="en-GB"/>
        </w:rPr>
        <w:t>g</w:t>
      </w:r>
      <w:r w:rsidRPr="002E3463">
        <w:rPr>
          <w:i/>
          <w:color w:val="215A99"/>
          <w:sz w:val="18"/>
          <w:szCs w:val="22"/>
          <w:lang w:val="en-GB"/>
        </w:rPr>
        <w:t xml:space="preserve">ing a floating import terminal online, </w:t>
      </w:r>
      <w:r>
        <w:rPr>
          <w:i/>
          <w:color w:val="215A99"/>
          <w:sz w:val="18"/>
          <w:szCs w:val="22"/>
          <w:lang w:val="en-GB"/>
        </w:rPr>
        <w:t xml:space="preserve">floating regasification </w:t>
      </w:r>
      <w:r w:rsidRPr="002E3463">
        <w:rPr>
          <w:i/>
          <w:color w:val="215A99"/>
          <w:sz w:val="18"/>
          <w:szCs w:val="22"/>
          <w:lang w:val="en-GB"/>
        </w:rPr>
        <w:t>has been used as a tool to bridge temporary supply-demand gap</w:t>
      </w:r>
      <w:r>
        <w:rPr>
          <w:i/>
          <w:color w:val="215A99"/>
          <w:sz w:val="18"/>
          <w:szCs w:val="22"/>
          <w:lang w:val="en-GB"/>
        </w:rPr>
        <w:t>s</w:t>
      </w:r>
      <w:r w:rsidRPr="002E3463">
        <w:rPr>
          <w:i/>
          <w:color w:val="215A99"/>
          <w:sz w:val="18"/>
          <w:szCs w:val="22"/>
          <w:lang w:val="en-GB"/>
        </w:rPr>
        <w:t xml:space="preserve"> (Israel)</w:t>
      </w:r>
      <w:r>
        <w:rPr>
          <w:i/>
          <w:color w:val="215A99"/>
          <w:sz w:val="18"/>
          <w:szCs w:val="22"/>
          <w:lang w:val="en-GB"/>
        </w:rPr>
        <w:t xml:space="preserve">, </w:t>
      </w:r>
      <w:r w:rsidRPr="002E3463">
        <w:rPr>
          <w:i/>
          <w:color w:val="215A99"/>
          <w:sz w:val="18"/>
          <w:szCs w:val="22"/>
          <w:lang w:val="en-GB"/>
        </w:rPr>
        <w:t>level geographic imbalances within countries (Indonesia, Malaysia)</w:t>
      </w:r>
      <w:r>
        <w:rPr>
          <w:i/>
          <w:color w:val="215A99"/>
          <w:sz w:val="18"/>
          <w:szCs w:val="22"/>
          <w:lang w:val="en-GB"/>
        </w:rPr>
        <w:t>,</w:t>
      </w:r>
      <w:r w:rsidRPr="002E3463">
        <w:rPr>
          <w:i/>
          <w:color w:val="215A99"/>
          <w:sz w:val="18"/>
          <w:szCs w:val="22"/>
          <w:lang w:val="en-GB"/>
        </w:rPr>
        <w:t xml:space="preserve"> and meet seasonal gas demand peaks (Argentina, Brazil and Kuwait).</w:t>
      </w:r>
      <w:r w:rsidRPr="002E3463">
        <w:rPr>
          <w:b/>
          <w:i/>
          <w:color w:val="215A99"/>
          <w:sz w:val="18"/>
          <w:szCs w:val="22"/>
          <w:lang w:val="en-GB"/>
        </w:rPr>
        <w:t xml:space="preserve"> </w:t>
      </w:r>
    </w:p>
    <w:p w:rsidR="003C4484" w:rsidRPr="002E3463" w:rsidRDefault="003C4484" w:rsidP="003C4484">
      <w:pPr>
        <w:spacing w:line="252" w:lineRule="auto"/>
        <w:ind w:left="630"/>
        <w:jc w:val="both"/>
        <w:rPr>
          <w:b/>
          <w:i/>
          <w:color w:val="215A99"/>
          <w:sz w:val="18"/>
          <w:szCs w:val="22"/>
          <w:lang w:val="en-GB"/>
        </w:rPr>
      </w:pPr>
    </w:p>
    <w:p w:rsidR="003C4484" w:rsidRPr="002E3463" w:rsidRDefault="003C4484" w:rsidP="003C4484">
      <w:pPr>
        <w:spacing w:line="252" w:lineRule="auto"/>
        <w:ind w:left="630"/>
        <w:jc w:val="both"/>
        <w:rPr>
          <w:b/>
          <w:i/>
          <w:color w:val="215A99"/>
          <w:sz w:val="18"/>
          <w:szCs w:val="22"/>
          <w:lang w:val="en-GB"/>
        </w:rPr>
      </w:pPr>
      <w:r w:rsidRPr="002E3463">
        <w:rPr>
          <w:b/>
          <w:i/>
          <w:color w:val="215A99"/>
          <w:sz w:val="18"/>
          <w:szCs w:val="22"/>
          <w:lang w:val="en-GB"/>
        </w:rPr>
        <w:t>Will markets with floating regasification terminals turn to onshore terminals?</w:t>
      </w:r>
      <w:r w:rsidRPr="002E3463">
        <w:rPr>
          <w:i/>
          <w:color w:val="215A99"/>
          <w:sz w:val="18"/>
          <w:szCs w:val="22"/>
          <w:lang w:val="en-GB"/>
        </w:rPr>
        <w:t xml:space="preserve"> As more markets use floating regasification as </w:t>
      </w:r>
      <w:r>
        <w:rPr>
          <w:i/>
          <w:color w:val="215A99"/>
          <w:sz w:val="18"/>
          <w:szCs w:val="22"/>
          <w:lang w:val="en-GB"/>
        </w:rPr>
        <w:t xml:space="preserve">a </w:t>
      </w:r>
      <w:r w:rsidRPr="002E3463">
        <w:rPr>
          <w:i/>
          <w:color w:val="215A99"/>
          <w:sz w:val="18"/>
          <w:szCs w:val="22"/>
          <w:lang w:val="en-GB"/>
        </w:rPr>
        <w:t>stopgap solution, the dependence on gas may increase resulting in further investments for long-term, onshore regasification projects.</w:t>
      </w:r>
      <w:r>
        <w:rPr>
          <w:i/>
          <w:color w:val="215A99"/>
          <w:sz w:val="18"/>
          <w:szCs w:val="22"/>
          <w:lang w:val="en-GB"/>
        </w:rPr>
        <w:t xml:space="preserve"> However, some markets could use floating regasification as a long-term solution also. </w:t>
      </w:r>
      <w:r w:rsidRPr="002E3463">
        <w:rPr>
          <w:i/>
          <w:color w:val="215A99"/>
          <w:sz w:val="18"/>
          <w:szCs w:val="22"/>
          <w:lang w:val="en-GB"/>
        </w:rPr>
        <w:t xml:space="preserve"> </w:t>
      </w:r>
    </w:p>
    <w:p w:rsidR="003C4484" w:rsidRPr="002E3463" w:rsidRDefault="003C4484" w:rsidP="003C4484">
      <w:pPr>
        <w:spacing w:line="252" w:lineRule="auto"/>
        <w:ind w:left="630"/>
        <w:jc w:val="both"/>
        <w:rPr>
          <w:b/>
          <w:i/>
          <w:color w:val="215A99"/>
          <w:sz w:val="18"/>
          <w:szCs w:val="22"/>
          <w:lang w:val="en-GB"/>
        </w:rPr>
      </w:pPr>
    </w:p>
    <w:p w:rsidR="003C4484" w:rsidRDefault="003C4484" w:rsidP="003C4484">
      <w:pPr>
        <w:spacing w:line="252" w:lineRule="auto"/>
        <w:ind w:left="630"/>
        <w:jc w:val="both"/>
        <w:rPr>
          <w:i/>
          <w:color w:val="215A99"/>
          <w:sz w:val="18"/>
          <w:szCs w:val="22"/>
          <w:lang w:val="en-GB"/>
        </w:rPr>
      </w:pPr>
      <w:r w:rsidRPr="002E3463">
        <w:rPr>
          <w:b/>
          <w:i/>
          <w:color w:val="215A99"/>
          <w:sz w:val="18"/>
          <w:szCs w:val="22"/>
          <w:lang w:val="en-GB"/>
        </w:rPr>
        <w:t xml:space="preserve">How will LNG import infrastructure evolve?  </w:t>
      </w:r>
      <w:r w:rsidRPr="002E3463">
        <w:rPr>
          <w:i/>
          <w:color w:val="215A99"/>
          <w:sz w:val="18"/>
          <w:szCs w:val="22"/>
          <w:lang w:val="en-GB"/>
        </w:rPr>
        <w:t>Over the past few years, the average capacity of LNG import terminals has gone down, while the average cost per unit of capacity has gone up. Both of these trends are expected to continue, particularly as additional nascent LNG markets build regasification terminals without the benefit of e</w:t>
      </w:r>
      <w:r>
        <w:rPr>
          <w:i/>
          <w:color w:val="215A99"/>
          <w:sz w:val="18"/>
          <w:szCs w:val="22"/>
          <w:lang w:val="en-GB"/>
        </w:rPr>
        <w:t>xisting infrastructure</w:t>
      </w:r>
      <w:r w:rsidRPr="002E3463">
        <w:rPr>
          <w:i/>
          <w:color w:val="215A99"/>
          <w:sz w:val="18"/>
          <w:szCs w:val="22"/>
          <w:lang w:val="en-GB"/>
        </w:rPr>
        <w:t>.</w:t>
      </w:r>
      <w:r>
        <w:rPr>
          <w:i/>
          <w:color w:val="215A99"/>
          <w:sz w:val="18"/>
          <w:szCs w:val="22"/>
          <w:lang w:val="en-GB"/>
        </w:rPr>
        <w:t xml:space="preserve"> </w:t>
      </w:r>
      <w:r w:rsidRPr="00F77E39">
        <w:rPr>
          <w:i/>
          <w:color w:val="215A99"/>
          <w:sz w:val="18"/>
          <w:szCs w:val="22"/>
          <w:lang w:val="en-GB"/>
        </w:rPr>
        <w:t>Small</w:t>
      </w:r>
      <w:r>
        <w:rPr>
          <w:i/>
          <w:color w:val="215A99"/>
          <w:sz w:val="18"/>
          <w:szCs w:val="22"/>
          <w:lang w:val="en-GB"/>
        </w:rPr>
        <w:t>-</w:t>
      </w:r>
      <w:r w:rsidRPr="00F77E39">
        <w:rPr>
          <w:i/>
          <w:color w:val="215A99"/>
          <w:sz w:val="18"/>
          <w:szCs w:val="22"/>
          <w:lang w:val="en-GB"/>
        </w:rPr>
        <w:t>scale regasification is expected to increase in importance in the total number of terminals.</w:t>
      </w:r>
      <w:r>
        <w:rPr>
          <w:i/>
          <w:color w:val="215A99"/>
          <w:sz w:val="18"/>
          <w:szCs w:val="22"/>
          <w:lang w:val="en-GB"/>
        </w:rPr>
        <w:t xml:space="preserve"> </w:t>
      </w:r>
    </w:p>
    <w:p w:rsidR="008B1893" w:rsidRDefault="008B1893" w:rsidP="003C4484">
      <w:pPr>
        <w:spacing w:line="252" w:lineRule="auto"/>
        <w:ind w:left="630"/>
        <w:jc w:val="both"/>
        <w:rPr>
          <w:i/>
          <w:color w:val="215A99"/>
          <w:sz w:val="18"/>
          <w:szCs w:val="22"/>
          <w:lang w:val="en-GB"/>
        </w:rPr>
      </w:pPr>
    </w:p>
    <w:p w:rsidR="003843DC" w:rsidRPr="00F77E39" w:rsidRDefault="003843DC" w:rsidP="003C4484">
      <w:pPr>
        <w:spacing w:line="252" w:lineRule="auto"/>
        <w:ind w:left="630"/>
        <w:jc w:val="both"/>
        <w:rPr>
          <w:i/>
          <w:color w:val="215A99"/>
          <w:sz w:val="18"/>
          <w:szCs w:val="22"/>
          <w:lang w:val="en-GB"/>
        </w:rPr>
      </w:pPr>
    </w:p>
    <w:p w:rsidR="003C4484" w:rsidRDefault="00073EEA" w:rsidP="003843DC">
      <w:pPr>
        <w:widowControl/>
        <w:rPr>
          <w:sz w:val="18"/>
          <w:lang w:val="en-GB"/>
        </w:rPr>
      </w:pPr>
      <w:r w:rsidRPr="00073EEA">
        <w:rPr>
          <w:noProof/>
          <w:sz w:val="18"/>
          <w:lang w:eastAsia="en-US"/>
        </w:rPr>
        <w:pict>
          <v:shape id="_x0000_s1097" type="#_x0000_t202" style="position:absolute;margin-left:3.35pt;margin-top:322.35pt;width:103.95pt;height:14.7pt;z-index:251683840;mso-width-relative:margin;mso-height-relative:margin" filled="f" stroked="f" strokecolor="silver">
            <v:textbox>
              <w:txbxContent>
                <w:p w:rsidR="00856114" w:rsidRPr="00120C1A" w:rsidRDefault="00856114" w:rsidP="003843DC">
                  <w:pPr>
                    <w:rPr>
                      <w:color w:val="FFFFFF" w:themeColor="background1"/>
                      <w:sz w:val="12"/>
                      <w:szCs w:val="12"/>
                    </w:rPr>
                  </w:pPr>
                  <w:r w:rsidRPr="00120C1A">
                    <w:rPr>
                      <w:color w:val="FFFFFF" w:themeColor="background1"/>
                      <w:sz w:val="12"/>
                      <w:szCs w:val="12"/>
                    </w:rPr>
                    <w:t xml:space="preserve">© </w:t>
                  </w:r>
                  <w:r w:rsidRPr="003843DC">
                    <w:rPr>
                      <w:color w:val="FFFFFF" w:themeColor="background1"/>
                      <w:sz w:val="12"/>
                      <w:szCs w:val="12"/>
                    </w:rPr>
                    <w:t>Cheniere Energy, Inc.</w:t>
                  </w:r>
                </w:p>
              </w:txbxContent>
            </v:textbox>
          </v:shape>
        </w:pict>
      </w:r>
      <w:r w:rsidR="003843DC">
        <w:rPr>
          <w:noProof/>
          <w:sz w:val="18"/>
          <w:lang w:val="fr-FR" w:eastAsia="zh-CN"/>
        </w:rPr>
        <w:drawing>
          <wp:inline distT="0" distB="0" distL="0" distR="0">
            <wp:extent cx="6446520" cy="4300613"/>
            <wp:effectExtent l="19050" t="0" r="0" b="0"/>
            <wp:docPr id="37" name="Picture 8" descr="G:\GlobalGas_NEW_\Client Companies\International Gas Union\2013 World LNG Report\Pictures\northview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lobalGas_NEW_\Client Companies\International Gas Union\2013 World LNG Report\Pictures\northview_2013.jpg"/>
                    <pic:cNvPicPr>
                      <a:picLocks noChangeAspect="1" noChangeArrowheads="1"/>
                    </pic:cNvPicPr>
                  </pic:nvPicPr>
                  <pic:blipFill>
                    <a:blip r:embed="rId59" cstate="print"/>
                    <a:srcRect/>
                    <a:stretch>
                      <a:fillRect/>
                    </a:stretch>
                  </pic:blipFill>
                  <pic:spPr bwMode="auto">
                    <a:xfrm>
                      <a:off x="0" y="0"/>
                      <a:ext cx="6446520" cy="4300613"/>
                    </a:xfrm>
                    <a:prstGeom prst="rect">
                      <a:avLst/>
                    </a:prstGeom>
                    <a:noFill/>
                    <a:ln w="9525">
                      <a:noFill/>
                      <a:miter lim="800000"/>
                      <a:headEnd/>
                      <a:tailEnd/>
                    </a:ln>
                  </pic:spPr>
                </pic:pic>
              </a:graphicData>
            </a:graphic>
          </wp:inline>
        </w:drawing>
      </w:r>
      <w:r w:rsidR="003843DC">
        <w:rPr>
          <w:sz w:val="18"/>
          <w:lang w:val="en-GB"/>
        </w:rPr>
        <w:t>Sabine Pass LNG Regasification Terminal, Louisiana, USA</w:t>
      </w:r>
      <w:r w:rsidR="003C4484">
        <w:rPr>
          <w:sz w:val="18"/>
          <w:lang w:val="en-GB"/>
        </w:rPr>
        <w:br w:type="page"/>
      </w:r>
    </w:p>
    <w:p w:rsidR="00E757B1" w:rsidRPr="00627EEA" w:rsidRDefault="00EE543A" w:rsidP="00627EEA">
      <w:pPr>
        <w:pStyle w:val="Titre1"/>
      </w:pPr>
      <w:bookmarkStart w:id="32" w:name="_Toc360628253"/>
      <w:r>
        <w:lastRenderedPageBreak/>
        <w:t>6</w:t>
      </w:r>
      <w:r w:rsidR="00E757B1" w:rsidRPr="00627EEA">
        <w:t>.  LNG Carriers</w:t>
      </w:r>
      <w:bookmarkEnd w:id="32"/>
    </w:p>
    <w:p w:rsidR="00E757B1" w:rsidRDefault="00E757B1" w:rsidP="00E757B1">
      <w:pPr>
        <w:widowControl/>
        <w:spacing w:line="252" w:lineRule="auto"/>
        <w:rPr>
          <w:color w:val="141313" w:themeColor="text1"/>
          <w:sz w:val="18"/>
          <w:szCs w:val="22"/>
          <w:lang w:val="en-GB"/>
        </w:rPr>
        <w:sectPr w:rsidR="00E757B1" w:rsidSect="00E757B1">
          <w:type w:val="continuous"/>
          <w:pgSz w:w="12240" w:h="15840"/>
          <w:pgMar w:top="1728" w:right="1080" w:bottom="1080" w:left="1008" w:header="720" w:footer="504" w:gutter="0"/>
          <w:cols w:space="720"/>
        </w:sectPr>
      </w:pPr>
    </w:p>
    <w:p w:rsidR="00E757B1" w:rsidRDefault="00E757B1" w:rsidP="00E757B1">
      <w:pPr>
        <w:spacing w:after="120" w:line="252" w:lineRule="auto"/>
        <w:jc w:val="both"/>
        <w:rPr>
          <w:b/>
          <w:i/>
          <w:color w:val="215A99"/>
          <w:sz w:val="18"/>
          <w:szCs w:val="22"/>
          <w:lang w:val="en-GB"/>
        </w:rPr>
      </w:pPr>
      <w:r>
        <w:rPr>
          <w:b/>
          <w:i/>
          <w:color w:val="215A99"/>
          <w:sz w:val="18"/>
          <w:szCs w:val="22"/>
          <w:lang w:val="en-GB"/>
        </w:rPr>
        <w:lastRenderedPageBreak/>
        <w:t>The shipping market in 2012 was a story of two markets. Sustained demand for spot cargoes during the first half of 2012 would ultimately give way to supply outages at multiple LNG plants and lower demand for spot cargoes in the second half of the year.  While the order book for new</w:t>
      </w:r>
      <w:r w:rsidR="00F926CA">
        <w:rPr>
          <w:b/>
          <w:i/>
          <w:color w:val="215A99"/>
          <w:sz w:val="18"/>
          <w:szCs w:val="22"/>
          <w:lang w:val="en-GB"/>
        </w:rPr>
        <w:t>-</w:t>
      </w:r>
      <w:r>
        <w:rPr>
          <w:b/>
          <w:i/>
          <w:color w:val="215A99"/>
          <w:sz w:val="18"/>
          <w:szCs w:val="22"/>
          <w:lang w:val="en-GB"/>
        </w:rPr>
        <w:t xml:space="preserve">build vessels increased in absolute terms, speculative orders without firm charter contracts dramatically declined in the second half of the year.  </w:t>
      </w:r>
    </w:p>
    <w:p w:rsidR="00645870" w:rsidRPr="00645870" w:rsidRDefault="00E757B1" w:rsidP="00645870">
      <w:pPr>
        <w:spacing w:line="252" w:lineRule="auto"/>
        <w:jc w:val="both"/>
        <w:rPr>
          <w:i/>
          <w:color w:val="215A99"/>
          <w:sz w:val="18"/>
          <w:szCs w:val="22"/>
          <w:lang w:val="en-GB"/>
        </w:rPr>
      </w:pPr>
      <w:r>
        <w:rPr>
          <w:i/>
          <w:color w:val="215A99"/>
          <w:sz w:val="18"/>
          <w:szCs w:val="22"/>
          <w:lang w:val="en-GB"/>
        </w:rPr>
        <w:t>During the second half of the year, market sentiment moved beyond the post-Fukushima boom and took stock of the supply-demand reality for the first time.  In particular, LNG projects and offtakers were largely ordering their own new</w:t>
      </w:r>
      <w:r w:rsidR="00F926CA">
        <w:rPr>
          <w:i/>
          <w:color w:val="215A99"/>
          <w:sz w:val="18"/>
          <w:szCs w:val="22"/>
          <w:lang w:val="en-GB"/>
        </w:rPr>
        <w:t>-</w:t>
      </w:r>
      <w:r>
        <w:rPr>
          <w:i/>
          <w:color w:val="215A99"/>
          <w:sz w:val="18"/>
          <w:szCs w:val="22"/>
          <w:lang w:val="en-GB"/>
        </w:rPr>
        <w:t>build tonnage rather than signing premium charter deals for the speculative tonnage already in the order bo</w:t>
      </w:r>
      <w:r w:rsidR="00F601AC">
        <w:rPr>
          <w:i/>
          <w:color w:val="215A99"/>
          <w:sz w:val="18"/>
          <w:szCs w:val="22"/>
          <w:lang w:val="en-GB"/>
        </w:rPr>
        <w:t>ok.  By December 2012 and into Q1</w:t>
      </w:r>
      <w:r>
        <w:rPr>
          <w:i/>
          <w:color w:val="215A99"/>
          <w:sz w:val="18"/>
          <w:szCs w:val="22"/>
          <w:lang w:val="en-GB"/>
        </w:rPr>
        <w:t xml:space="preserve"> 2013, market participants were beginning to prepare themselves </w:t>
      </w:r>
      <w:r w:rsidR="001B55B3">
        <w:rPr>
          <w:i/>
          <w:color w:val="215A99"/>
          <w:sz w:val="18"/>
          <w:szCs w:val="22"/>
          <w:lang w:val="en-GB"/>
        </w:rPr>
        <w:t xml:space="preserve">for </w:t>
      </w:r>
      <w:r w:rsidR="00E52DDD">
        <w:rPr>
          <w:i/>
          <w:color w:val="215A99"/>
          <w:sz w:val="18"/>
          <w:szCs w:val="22"/>
          <w:lang w:val="en-GB"/>
        </w:rPr>
        <w:t>greater supply than demand given</w:t>
      </w:r>
      <w:r>
        <w:rPr>
          <w:i/>
          <w:color w:val="215A99"/>
          <w:sz w:val="18"/>
          <w:szCs w:val="22"/>
          <w:lang w:val="en-GB"/>
        </w:rPr>
        <w:t xml:space="preserve"> the large amount of unchartered new</w:t>
      </w:r>
      <w:r w:rsidR="00F926CA">
        <w:rPr>
          <w:i/>
          <w:color w:val="215A99"/>
          <w:sz w:val="18"/>
          <w:szCs w:val="22"/>
          <w:lang w:val="en-GB"/>
        </w:rPr>
        <w:t>-</w:t>
      </w:r>
      <w:r>
        <w:rPr>
          <w:i/>
          <w:color w:val="215A99"/>
          <w:sz w:val="18"/>
          <w:szCs w:val="22"/>
          <w:lang w:val="en-GB"/>
        </w:rPr>
        <w:t xml:space="preserve">build supply expected to come online in 2013 and 2014.  </w:t>
      </w:r>
    </w:p>
    <w:p w:rsidR="00E757B1" w:rsidRDefault="00E757B1" w:rsidP="00E757B1">
      <w:pPr>
        <w:widowControl/>
        <w:spacing w:line="252" w:lineRule="auto"/>
        <w:rPr>
          <w:i/>
          <w:color w:val="215A99"/>
          <w:sz w:val="18"/>
          <w:szCs w:val="22"/>
          <w:lang w:val="en-GB"/>
        </w:rPr>
        <w:sectPr w:rsidR="00E757B1">
          <w:type w:val="continuous"/>
          <w:pgSz w:w="12240" w:h="15840"/>
          <w:pgMar w:top="1728" w:right="1080" w:bottom="1080" w:left="1008" w:header="720" w:footer="504" w:gutter="0"/>
          <w:cols w:space="720"/>
        </w:sectPr>
      </w:pPr>
    </w:p>
    <w:p w:rsidR="00E757B1" w:rsidRDefault="00EE543A" w:rsidP="00645870">
      <w:pPr>
        <w:pStyle w:val="Titre2"/>
        <w:rPr>
          <w:lang w:val="en-GB"/>
        </w:rPr>
      </w:pPr>
      <w:bookmarkStart w:id="33" w:name="_Toc360628254"/>
      <w:r>
        <w:rPr>
          <w:lang w:val="en-GB"/>
        </w:rPr>
        <w:lastRenderedPageBreak/>
        <w:t>6</w:t>
      </w:r>
      <w:r w:rsidR="00E757B1">
        <w:rPr>
          <w:lang w:val="en-GB"/>
        </w:rPr>
        <w:t>.1. OVERVIEW</w:t>
      </w:r>
      <w:bookmarkEnd w:id="33"/>
    </w:p>
    <w:p w:rsidR="00E757B1" w:rsidRDefault="00E757B1" w:rsidP="00E757B1">
      <w:pPr>
        <w:spacing w:line="252" w:lineRule="auto"/>
        <w:jc w:val="both"/>
        <w:rPr>
          <w:b/>
          <w:color w:val="215A99"/>
          <w:sz w:val="18"/>
          <w:lang w:val="en-GB"/>
        </w:rPr>
      </w:pPr>
    </w:p>
    <w:p w:rsidR="00E757B1" w:rsidRDefault="00073EEA" w:rsidP="00E757B1">
      <w:pPr>
        <w:spacing w:line="252" w:lineRule="auto"/>
        <w:jc w:val="both"/>
        <w:rPr>
          <w:sz w:val="18"/>
          <w:lang w:val="en-GB"/>
        </w:rPr>
      </w:pPr>
      <w:r w:rsidRPr="00073EEA">
        <w:rPr>
          <w:noProof/>
          <w:sz w:val="18"/>
          <w:lang w:eastAsia="en-US"/>
        </w:rPr>
        <w:pict>
          <v:shape id="_x0000_s1084" type="#_x0000_t202" style="position:absolute;left:0;text-align:left;margin-left:-1.15pt;margin-top:37.15pt;width:129.9pt;height:40.75pt;z-index:251671552;mso-wrap-edited:f;mso-wrap-distance-left:14.4pt;mso-wrap-distance-right:14.4pt;mso-width-relative:margin;mso-height-relative:margin" wrapcoords="0 0 21600 0 21600 21600 0 21600 0 0" filled="f" stroked="f" strokecolor="silver">
            <v:fill o:detectmouseclick="t"/>
            <v:textbox style="mso-next-textbox:#_x0000_s1084" inset="0,0,0,0">
              <w:txbxContent>
                <w:p w:rsidR="00856114" w:rsidRPr="003A5BDA" w:rsidRDefault="00856114" w:rsidP="00256D40">
                  <w:pPr>
                    <w:rPr>
                      <w:b/>
                      <w:color w:val="1B82CE" w:themeColor="accent3"/>
                      <w:sz w:val="24"/>
                    </w:rPr>
                  </w:pPr>
                  <w:r>
                    <w:rPr>
                      <w:b/>
                      <w:color w:val="1B82CE" w:themeColor="accent3"/>
                      <w:sz w:val="24"/>
                    </w:rPr>
                    <w:t xml:space="preserve">362 Carriers, end-2012 </w:t>
                  </w:r>
                </w:p>
                <w:p w:rsidR="00856114" w:rsidRPr="003A5BDA" w:rsidRDefault="00856114" w:rsidP="00256D40">
                  <w:pPr>
                    <w:rPr>
                      <w:i/>
                      <w:color w:val="1B82CE" w:themeColor="accent3"/>
                      <w:sz w:val="18"/>
                    </w:rPr>
                  </w:pPr>
                  <w:r>
                    <w:rPr>
                      <w:i/>
                      <w:color w:val="1B82CE" w:themeColor="accent3"/>
                      <w:sz w:val="18"/>
                    </w:rPr>
                    <w:t>Only includes those above 18,000 cm</w:t>
                  </w:r>
                </w:p>
                <w:p w:rsidR="00856114" w:rsidRDefault="00856114"/>
              </w:txbxContent>
            </v:textbox>
            <w10:wrap type="tight"/>
          </v:shape>
        </w:pict>
      </w:r>
      <w:r w:rsidR="00E757B1">
        <w:rPr>
          <w:sz w:val="18"/>
          <w:lang w:val="en-GB"/>
        </w:rPr>
        <w:t xml:space="preserve">At the end of 2012, the global LNG fleet consisted of 362 vessels of all types, with a combined capacity of 54 </w:t>
      </w:r>
      <w:proofErr w:type="spellStart"/>
      <w:r w:rsidR="00E757B1">
        <w:rPr>
          <w:sz w:val="18"/>
          <w:lang w:val="en-GB"/>
        </w:rPr>
        <w:t>bcm</w:t>
      </w:r>
      <w:proofErr w:type="spellEnd"/>
      <w:r w:rsidR="00E757B1">
        <w:rPr>
          <w:sz w:val="18"/>
          <w:lang w:val="en-GB"/>
        </w:rPr>
        <w:t xml:space="preserve"> (vessels below 18,000 cm are not counted in the global fleet for the purposes of this report).  Growth in the fleet in 2012 was limited to three vessels – only two of which were above 18,000 cm.  At end-2012, the order book for new vessels stood at 96 vessels, equivalent to 16 </w:t>
      </w:r>
      <w:proofErr w:type="spellStart"/>
      <w:r w:rsidR="00E757B1">
        <w:rPr>
          <w:sz w:val="18"/>
          <w:lang w:val="en-GB"/>
        </w:rPr>
        <w:t>mmcm</w:t>
      </w:r>
      <w:proofErr w:type="spellEnd"/>
      <w:r w:rsidR="00E757B1">
        <w:rPr>
          <w:sz w:val="18"/>
          <w:lang w:val="en-GB"/>
        </w:rPr>
        <w:t xml:space="preserve"> of new capacity. </w:t>
      </w:r>
    </w:p>
    <w:tbl>
      <w:tblPr>
        <w:tblpPr w:leftFromText="180" w:rightFromText="180" w:vertAnchor="text" w:horzAnchor="margin" w:tblpY="25"/>
        <w:tblW w:w="4980" w:type="dxa"/>
        <w:tblLayout w:type="fixed"/>
        <w:tblLook w:val="01E0"/>
      </w:tblPr>
      <w:tblGrid>
        <w:gridCol w:w="4980"/>
      </w:tblGrid>
      <w:tr w:rsidR="00E757B1" w:rsidTr="00E757B1">
        <w:trPr>
          <w:trHeight w:val="2938"/>
        </w:trPr>
        <w:tc>
          <w:tcPr>
            <w:tcW w:w="4975" w:type="dxa"/>
            <w:hideMark/>
          </w:tcPr>
          <w:p w:rsidR="00E757B1" w:rsidRDefault="00E757B1">
            <w:pPr>
              <w:pStyle w:val="PFCBulletedText2"/>
              <w:spacing w:before="120" w:after="0"/>
              <w:ind w:left="0" w:firstLine="0"/>
              <w:jc w:val="left"/>
              <w:rPr>
                <w:noProof/>
                <w:lang w:eastAsia="en-US"/>
              </w:rPr>
            </w:pPr>
            <w:r>
              <w:rPr>
                <w:noProof/>
                <w:lang w:val="fr-FR" w:eastAsia="zh-CN"/>
              </w:rPr>
              <w:drawing>
                <wp:inline distT="0" distB="0" distL="0" distR="0">
                  <wp:extent cx="3016250" cy="2074545"/>
                  <wp:effectExtent l="19050" t="0" r="0" b="0"/>
                  <wp:docPr id="1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3016250" cy="2074545"/>
                          </a:xfrm>
                          <a:prstGeom prst="rect">
                            <a:avLst/>
                          </a:prstGeom>
                          <a:noFill/>
                          <a:ln w="9525">
                            <a:noFill/>
                            <a:miter lim="800000"/>
                            <a:headEnd/>
                            <a:tailEnd/>
                          </a:ln>
                        </pic:spPr>
                      </pic:pic>
                    </a:graphicData>
                  </a:graphic>
                </wp:inline>
              </w:drawing>
            </w:r>
          </w:p>
          <w:p w:rsidR="00E757B1" w:rsidRDefault="00E757B1">
            <w:pPr>
              <w:pStyle w:val="PFCBulletedText2"/>
              <w:ind w:left="0" w:firstLine="0"/>
              <w:jc w:val="left"/>
              <w:rPr>
                <w:b/>
                <w:sz w:val="18"/>
                <w:szCs w:val="18"/>
              </w:rPr>
            </w:pPr>
            <w:r>
              <w:rPr>
                <w:b/>
                <w:sz w:val="18"/>
                <w:szCs w:val="18"/>
              </w:rPr>
              <w:t xml:space="preserve">Figure </w:t>
            </w:r>
            <w:r w:rsidR="004C2905">
              <w:rPr>
                <w:b/>
                <w:sz w:val="18"/>
                <w:szCs w:val="18"/>
              </w:rPr>
              <w:t>6.</w:t>
            </w:r>
            <w:r>
              <w:rPr>
                <w:b/>
                <w:sz w:val="18"/>
                <w:szCs w:val="18"/>
              </w:rPr>
              <w:t xml:space="preserve">1:  </w:t>
            </w:r>
            <w:r>
              <w:t xml:space="preserve"> </w:t>
            </w:r>
            <w:r>
              <w:rPr>
                <w:b/>
                <w:sz w:val="18"/>
                <w:szCs w:val="18"/>
              </w:rPr>
              <w:t xml:space="preserve"> Global LNG Fleet by Year of Delivery</w:t>
            </w:r>
          </w:p>
          <w:p w:rsidR="00E757B1" w:rsidRDefault="00E757B1">
            <w:pPr>
              <w:pStyle w:val="PFCBulletedText2"/>
              <w:ind w:left="0" w:firstLine="0"/>
              <w:jc w:val="left"/>
              <w:rPr>
                <w:b/>
                <w:sz w:val="18"/>
                <w:szCs w:val="18"/>
              </w:rPr>
            </w:pPr>
            <w:r>
              <w:rPr>
                <w:i/>
                <w:sz w:val="16"/>
                <w:szCs w:val="16"/>
              </w:rPr>
              <w:t>Sources: PFC Energy Global LNG Service</w:t>
            </w:r>
          </w:p>
        </w:tc>
      </w:tr>
    </w:tbl>
    <w:p w:rsidR="008E2C86" w:rsidRDefault="008E2C86"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The average size of LNG carriers increased in recent years partly due to the commissioning of larger Q-Series vessels associated with Qatar.  In 2012, the average capacity global fleet was approximately 148,000 cm.  By contrast, the average size of vessels in the </w:t>
      </w:r>
      <w:r w:rsidR="00F926CA">
        <w:rPr>
          <w:sz w:val="18"/>
          <w:lang w:val="en-GB"/>
        </w:rPr>
        <w:t>new-build</w:t>
      </w:r>
      <w:r>
        <w:rPr>
          <w:sz w:val="18"/>
          <w:lang w:val="en-GB"/>
        </w:rPr>
        <w:t xml:space="preserve"> order book at the end of 2012 was approximately 162,000 cm, reflecting the trend toward larger capacities for conventional vessels. </w:t>
      </w:r>
    </w:p>
    <w:tbl>
      <w:tblPr>
        <w:tblpPr w:leftFromText="180" w:rightFromText="180" w:vertAnchor="text" w:horzAnchor="margin" w:tblpXSpec="right" w:tblpY="1678"/>
        <w:tblW w:w="4980" w:type="dxa"/>
        <w:tblLayout w:type="fixed"/>
        <w:tblLook w:val="01E0"/>
      </w:tblPr>
      <w:tblGrid>
        <w:gridCol w:w="4980"/>
      </w:tblGrid>
      <w:tr w:rsidR="00E757B1" w:rsidTr="00F926CA">
        <w:trPr>
          <w:trHeight w:val="2938"/>
        </w:trPr>
        <w:tc>
          <w:tcPr>
            <w:tcW w:w="4980" w:type="dxa"/>
            <w:hideMark/>
          </w:tcPr>
          <w:p w:rsidR="00E757B1" w:rsidRDefault="00E757B1" w:rsidP="00F926CA">
            <w:pPr>
              <w:pStyle w:val="PFCBulletedText2"/>
              <w:spacing w:before="120" w:after="0"/>
              <w:ind w:left="0" w:firstLine="0"/>
              <w:jc w:val="left"/>
              <w:rPr>
                <w:noProof/>
                <w:lang w:eastAsia="en-US"/>
              </w:rPr>
            </w:pPr>
            <w:r>
              <w:rPr>
                <w:noProof/>
                <w:lang w:val="fr-FR" w:eastAsia="zh-CN"/>
              </w:rPr>
              <w:drawing>
                <wp:inline distT="0" distB="0" distL="0" distR="0">
                  <wp:extent cx="3016250" cy="2074545"/>
                  <wp:effectExtent l="19050" t="0" r="0" b="0"/>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3016250" cy="2074545"/>
                          </a:xfrm>
                          <a:prstGeom prst="rect">
                            <a:avLst/>
                          </a:prstGeom>
                          <a:noFill/>
                          <a:ln w="9525">
                            <a:noFill/>
                            <a:miter lim="800000"/>
                            <a:headEnd/>
                            <a:tailEnd/>
                          </a:ln>
                        </pic:spPr>
                      </pic:pic>
                    </a:graphicData>
                  </a:graphic>
                </wp:inline>
              </w:drawing>
            </w:r>
          </w:p>
          <w:p w:rsidR="00E757B1" w:rsidRDefault="00E757B1" w:rsidP="00F926CA">
            <w:pPr>
              <w:pStyle w:val="PFCBulletedText2"/>
              <w:ind w:left="0" w:firstLine="0"/>
              <w:jc w:val="left"/>
              <w:rPr>
                <w:b/>
                <w:sz w:val="18"/>
                <w:szCs w:val="18"/>
              </w:rPr>
            </w:pPr>
            <w:r>
              <w:rPr>
                <w:b/>
                <w:sz w:val="18"/>
                <w:szCs w:val="18"/>
              </w:rPr>
              <w:t xml:space="preserve">Figure </w:t>
            </w:r>
            <w:r w:rsidR="004C2905">
              <w:rPr>
                <w:b/>
                <w:sz w:val="18"/>
                <w:szCs w:val="18"/>
              </w:rPr>
              <w:t>6.</w:t>
            </w:r>
            <w:r>
              <w:rPr>
                <w:b/>
                <w:sz w:val="18"/>
                <w:szCs w:val="18"/>
              </w:rPr>
              <w:t xml:space="preserve">2:  </w:t>
            </w:r>
            <w:r>
              <w:t xml:space="preserve"> </w:t>
            </w:r>
            <w:r>
              <w:rPr>
                <w:b/>
                <w:sz w:val="18"/>
                <w:szCs w:val="18"/>
              </w:rPr>
              <w:t>Global LNG Fleet by Capacity, 2012</w:t>
            </w:r>
            <w:r>
              <w:rPr>
                <w:b/>
                <w:color w:val="FF0000"/>
                <w:sz w:val="18"/>
                <w:szCs w:val="18"/>
              </w:rPr>
              <w:t xml:space="preserve"> </w:t>
            </w:r>
            <w:r>
              <w:rPr>
                <w:b/>
                <w:sz w:val="18"/>
                <w:szCs w:val="18"/>
              </w:rPr>
              <w:t xml:space="preserve">      </w:t>
            </w:r>
          </w:p>
          <w:p w:rsidR="00E757B1" w:rsidRDefault="00E757B1" w:rsidP="00F926CA">
            <w:pPr>
              <w:pStyle w:val="PFCBulletedText2"/>
              <w:ind w:left="0" w:firstLine="0"/>
              <w:jc w:val="left"/>
              <w:rPr>
                <w:b/>
                <w:sz w:val="18"/>
                <w:szCs w:val="18"/>
              </w:rPr>
            </w:pPr>
            <w:r>
              <w:rPr>
                <w:i/>
                <w:sz w:val="16"/>
                <w:szCs w:val="16"/>
              </w:rPr>
              <w:t>Sources: PFC Energy Global LNG Service</w:t>
            </w:r>
          </w:p>
        </w:tc>
      </w:tr>
    </w:tbl>
    <w:p w:rsidR="00E757B1" w:rsidRDefault="00E757B1" w:rsidP="00E757B1">
      <w:pPr>
        <w:spacing w:line="252" w:lineRule="auto"/>
        <w:ind w:left="180"/>
        <w:jc w:val="both"/>
        <w:rPr>
          <w:sz w:val="18"/>
          <w:lang w:val="en-GB"/>
        </w:rPr>
      </w:pPr>
    </w:p>
    <w:p w:rsidR="00F926CA" w:rsidRDefault="00E757B1" w:rsidP="00E757B1">
      <w:pPr>
        <w:spacing w:line="252" w:lineRule="auto"/>
        <w:jc w:val="both"/>
        <w:rPr>
          <w:sz w:val="18"/>
          <w:lang w:val="en-GB"/>
        </w:rPr>
      </w:pPr>
      <w:r>
        <w:rPr>
          <w:sz w:val="18"/>
          <w:lang w:val="en-GB"/>
        </w:rPr>
        <w:t>There is growing demand for alternative uses of LNG vessels, which mainly consists of Floating</w:t>
      </w:r>
      <w:r>
        <w:rPr>
          <w:sz w:val="22"/>
          <w:szCs w:val="22"/>
          <w:lang w:val="en-GB"/>
        </w:rPr>
        <w:t xml:space="preserve"> </w:t>
      </w:r>
      <w:r>
        <w:rPr>
          <w:sz w:val="18"/>
          <w:lang w:val="en-GB"/>
        </w:rPr>
        <w:t xml:space="preserve">Storage and Regasification Unit (FSRU) vessels.  Emerging market economies looking to economically stage growth in regasification infrastructure have been the biggest proponents of FSRUs to date.  Many companies are also </w:t>
      </w:r>
    </w:p>
    <w:p w:rsidR="00F926CA" w:rsidRDefault="00F926CA" w:rsidP="00E757B1">
      <w:pPr>
        <w:spacing w:line="252" w:lineRule="auto"/>
        <w:jc w:val="both"/>
        <w:rPr>
          <w:sz w:val="18"/>
          <w:lang w:val="en-GB"/>
        </w:rPr>
      </w:pPr>
    </w:p>
    <w:p w:rsidR="00F926CA" w:rsidRDefault="00F926CA" w:rsidP="00E757B1">
      <w:pPr>
        <w:spacing w:line="252" w:lineRule="auto"/>
        <w:jc w:val="both"/>
        <w:rPr>
          <w:sz w:val="18"/>
          <w:lang w:val="en-GB"/>
        </w:rPr>
      </w:pPr>
    </w:p>
    <w:p w:rsidR="00F926CA" w:rsidRDefault="00F926CA" w:rsidP="00E757B1">
      <w:pPr>
        <w:spacing w:line="252" w:lineRule="auto"/>
        <w:jc w:val="both"/>
        <w:rPr>
          <w:sz w:val="18"/>
          <w:lang w:val="en-GB"/>
        </w:rPr>
      </w:pPr>
    </w:p>
    <w:p w:rsidR="00E757B1" w:rsidRDefault="00E757B1" w:rsidP="00E757B1">
      <w:pPr>
        <w:spacing w:line="252" w:lineRule="auto"/>
        <w:jc w:val="both"/>
        <w:rPr>
          <w:sz w:val="22"/>
          <w:szCs w:val="22"/>
          <w:lang w:val="en-GB"/>
        </w:rPr>
      </w:pPr>
      <w:proofErr w:type="gramStart"/>
      <w:r>
        <w:rPr>
          <w:sz w:val="18"/>
          <w:lang w:val="en-GB"/>
        </w:rPr>
        <w:t>looking</w:t>
      </w:r>
      <w:proofErr w:type="gramEnd"/>
      <w:r>
        <w:rPr>
          <w:sz w:val="18"/>
          <w:lang w:val="en-GB"/>
        </w:rPr>
        <w:t xml:space="preserve"> to develop Floating Production, Storage and Offloading (FPSO) vessels, which facilitate floating liquefaction.  While three projects were under-construction in 2012, this technology remains commercially unproven.</w:t>
      </w:r>
      <w:r>
        <w:rPr>
          <w:sz w:val="22"/>
          <w:szCs w:val="22"/>
          <w:lang w:val="en-GB"/>
        </w:rPr>
        <w:t xml:space="preserve">  </w:t>
      </w:r>
    </w:p>
    <w:p w:rsidR="00E757B1" w:rsidRDefault="00EE543A" w:rsidP="00645870">
      <w:pPr>
        <w:pStyle w:val="Titre2"/>
        <w:rPr>
          <w:lang w:val="en-GB"/>
        </w:rPr>
      </w:pPr>
      <w:bookmarkStart w:id="34" w:name="_Toc360628255"/>
      <w:r>
        <w:rPr>
          <w:lang w:val="en-GB"/>
        </w:rPr>
        <w:t>6</w:t>
      </w:r>
      <w:r w:rsidR="00E757B1">
        <w:rPr>
          <w:lang w:val="en-GB"/>
        </w:rPr>
        <w:t>.2 VESSEL TYPES</w:t>
      </w:r>
      <w:bookmarkEnd w:id="34"/>
    </w:p>
    <w:p w:rsidR="00E757B1" w:rsidRDefault="00E757B1" w:rsidP="00E757B1">
      <w:pPr>
        <w:spacing w:line="252" w:lineRule="auto"/>
        <w:jc w:val="both"/>
        <w:rPr>
          <w:sz w:val="22"/>
          <w:szCs w:val="22"/>
          <w:lang w:val="en-GB"/>
        </w:rPr>
      </w:pPr>
    </w:p>
    <w:p w:rsidR="00E757B1" w:rsidRDefault="00E757B1" w:rsidP="00E757B1">
      <w:pPr>
        <w:spacing w:line="252" w:lineRule="auto"/>
        <w:jc w:val="both"/>
        <w:rPr>
          <w:sz w:val="18"/>
          <w:lang w:val="en-GB"/>
        </w:rPr>
      </w:pPr>
      <w:r>
        <w:rPr>
          <w:sz w:val="18"/>
          <w:lang w:val="en-GB"/>
        </w:rPr>
        <w:t xml:space="preserve">The term “conventional LNG vessels” refers to the Moss-type or membrane-type vessels, which are greater than 125,000 cm and less than 180,000 cm.  Non-conventional vessels include Q-Series types, which offer the largest capacities between currently available, in addition to FSRUs.  </w:t>
      </w:r>
    </w:p>
    <w:p w:rsidR="00E757B1" w:rsidRDefault="00E757B1"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FSRUs are typically capable of both transporting LNG </w:t>
      </w:r>
      <w:r w:rsidR="00F601AC">
        <w:rPr>
          <w:sz w:val="18"/>
          <w:lang w:val="en-GB"/>
        </w:rPr>
        <w:t>such as</w:t>
      </w:r>
      <w:r>
        <w:rPr>
          <w:sz w:val="18"/>
          <w:lang w:val="en-GB"/>
        </w:rPr>
        <w:t xml:space="preserve"> traditional LNG carriers, and additionally offer the on</w:t>
      </w:r>
      <w:r w:rsidR="00F601AC">
        <w:rPr>
          <w:sz w:val="18"/>
          <w:lang w:val="en-GB"/>
        </w:rPr>
        <w:t>-</w:t>
      </w:r>
      <w:r>
        <w:rPr>
          <w:sz w:val="18"/>
          <w:lang w:val="en-GB"/>
        </w:rPr>
        <w:t xml:space="preserve">board functionality of </w:t>
      </w:r>
      <w:proofErr w:type="spellStart"/>
      <w:r>
        <w:rPr>
          <w:sz w:val="18"/>
          <w:lang w:val="en-GB"/>
        </w:rPr>
        <w:t>regasifying</w:t>
      </w:r>
      <w:proofErr w:type="spellEnd"/>
      <w:r>
        <w:rPr>
          <w:sz w:val="18"/>
          <w:lang w:val="en-GB"/>
        </w:rPr>
        <w:t xml:space="preserve"> LNG, which is delivered to land via flexible pipeline connection.  This onboard regasification capability eliminates the need for a traditional onshore regasification terminal, allowing the FSRU to function as a floating terminal for other conventional vessels and to deliver its own LNG cargo directly to land.  Some FSRUs are permanently moored as floating regasification terminals, but the majority of the vessel type is technically capable of alternating as a floating terminal or LNG carrier at </w:t>
      </w:r>
      <w:r>
        <w:rPr>
          <w:sz w:val="18"/>
          <w:lang w:val="en-GB"/>
        </w:rPr>
        <w:lastRenderedPageBreak/>
        <w:t xml:space="preserve">different points in a year. </w:t>
      </w:r>
    </w:p>
    <w:p w:rsidR="00E757B1" w:rsidRDefault="00E757B1" w:rsidP="00E757B1">
      <w:pPr>
        <w:spacing w:line="252" w:lineRule="auto"/>
        <w:jc w:val="both"/>
        <w:rPr>
          <w:sz w:val="18"/>
          <w:lang w:val="en-GB"/>
        </w:rPr>
      </w:pPr>
    </w:p>
    <w:tbl>
      <w:tblPr>
        <w:tblpPr w:leftFromText="180" w:rightFromText="180" w:vertAnchor="text" w:horzAnchor="margin" w:tblpXSpec="right" w:tblpY="-253"/>
        <w:tblW w:w="4935" w:type="dxa"/>
        <w:tblLayout w:type="fixed"/>
        <w:tblLook w:val="01E0"/>
      </w:tblPr>
      <w:tblGrid>
        <w:gridCol w:w="4935"/>
      </w:tblGrid>
      <w:tr w:rsidR="008E19F8" w:rsidTr="008E19F8">
        <w:trPr>
          <w:trHeight w:val="2848"/>
        </w:trPr>
        <w:tc>
          <w:tcPr>
            <w:tcW w:w="4935" w:type="dxa"/>
            <w:hideMark/>
          </w:tcPr>
          <w:p w:rsidR="008E19F8" w:rsidRDefault="008E19F8" w:rsidP="008E19F8">
            <w:pPr>
              <w:pStyle w:val="PFCBulletedText2"/>
              <w:spacing w:before="120" w:after="0"/>
              <w:ind w:left="0" w:firstLine="0"/>
              <w:jc w:val="left"/>
              <w:rPr>
                <w:noProof/>
                <w:lang w:eastAsia="en-US"/>
              </w:rPr>
            </w:pPr>
            <w:r>
              <w:rPr>
                <w:noProof/>
                <w:lang w:val="fr-FR" w:eastAsia="zh-CN"/>
              </w:rPr>
              <w:drawing>
                <wp:inline distT="0" distB="0" distL="0" distR="0">
                  <wp:extent cx="3016250" cy="2060575"/>
                  <wp:effectExtent l="19050" t="0" r="0" b="0"/>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srcRect/>
                          <a:stretch>
                            <a:fillRect/>
                          </a:stretch>
                        </pic:blipFill>
                        <pic:spPr bwMode="auto">
                          <a:xfrm>
                            <a:off x="0" y="0"/>
                            <a:ext cx="3016250" cy="2060575"/>
                          </a:xfrm>
                          <a:prstGeom prst="rect">
                            <a:avLst/>
                          </a:prstGeom>
                          <a:noFill/>
                          <a:ln w="9525">
                            <a:noFill/>
                            <a:miter lim="800000"/>
                            <a:headEnd/>
                            <a:tailEnd/>
                          </a:ln>
                        </pic:spPr>
                      </pic:pic>
                    </a:graphicData>
                  </a:graphic>
                </wp:inline>
              </w:drawing>
            </w:r>
          </w:p>
          <w:p w:rsidR="008E19F8" w:rsidRDefault="008E19F8" w:rsidP="008E19F8">
            <w:pPr>
              <w:pStyle w:val="PFCBulletedText2"/>
              <w:ind w:left="0" w:firstLine="0"/>
              <w:jc w:val="left"/>
              <w:rPr>
                <w:b/>
                <w:sz w:val="18"/>
                <w:szCs w:val="18"/>
              </w:rPr>
            </w:pPr>
            <w:r>
              <w:rPr>
                <w:b/>
                <w:sz w:val="18"/>
                <w:szCs w:val="18"/>
              </w:rPr>
              <w:t>Figure 6.4:    Global LNG Fleet by Age, 2012  (Number of Carriers, % of Total)</w:t>
            </w:r>
          </w:p>
          <w:p w:rsidR="008E19F8" w:rsidRDefault="008E19F8" w:rsidP="008E19F8">
            <w:pPr>
              <w:pStyle w:val="PFCBulletedText2"/>
              <w:ind w:left="0" w:firstLine="0"/>
              <w:jc w:val="left"/>
              <w:rPr>
                <w:b/>
                <w:sz w:val="18"/>
                <w:szCs w:val="18"/>
              </w:rPr>
            </w:pPr>
            <w:r>
              <w:rPr>
                <w:i/>
                <w:sz w:val="16"/>
                <w:szCs w:val="16"/>
              </w:rPr>
              <w:t>Sources: PFC Energy Global LNG Service</w:t>
            </w:r>
          </w:p>
        </w:tc>
      </w:tr>
    </w:tbl>
    <w:p w:rsidR="00E757B1" w:rsidRDefault="00E757B1" w:rsidP="00E757B1">
      <w:pPr>
        <w:spacing w:line="252" w:lineRule="auto"/>
        <w:jc w:val="both"/>
        <w:rPr>
          <w:sz w:val="18"/>
          <w:lang w:val="en-GB"/>
        </w:rPr>
      </w:pPr>
      <w:r>
        <w:rPr>
          <w:sz w:val="18"/>
          <w:lang w:val="en-GB"/>
        </w:rPr>
        <w:t xml:space="preserve">Membrane-type systems continued to lead the </w:t>
      </w:r>
      <w:r w:rsidR="00F926CA">
        <w:rPr>
          <w:sz w:val="18"/>
          <w:lang w:val="en-GB"/>
        </w:rPr>
        <w:t>new-build</w:t>
      </w:r>
      <w:r>
        <w:rPr>
          <w:sz w:val="18"/>
          <w:lang w:val="en-GB"/>
        </w:rPr>
        <w:t xml:space="preserve"> </w:t>
      </w:r>
      <w:proofErr w:type="spellStart"/>
      <w:r>
        <w:rPr>
          <w:sz w:val="18"/>
          <w:lang w:val="en-GB"/>
        </w:rPr>
        <w:t>orderbook</w:t>
      </w:r>
      <w:proofErr w:type="spellEnd"/>
      <w:r>
        <w:rPr>
          <w:sz w:val="18"/>
          <w:lang w:val="en-GB"/>
        </w:rPr>
        <w:t xml:space="preserve"> as the preferred containment option.  Within the existing fleet, the alterative Moss-type containment system saw its share of the fleet slip to 31% in 2012.</w:t>
      </w:r>
    </w:p>
    <w:tbl>
      <w:tblPr>
        <w:tblpPr w:leftFromText="180" w:rightFromText="180" w:vertAnchor="text" w:horzAnchor="margin" w:tblpY="29"/>
        <w:tblW w:w="4980" w:type="dxa"/>
        <w:tblLayout w:type="fixed"/>
        <w:tblLook w:val="01E0"/>
      </w:tblPr>
      <w:tblGrid>
        <w:gridCol w:w="4980"/>
      </w:tblGrid>
      <w:tr w:rsidR="00E757B1" w:rsidTr="00E757B1">
        <w:trPr>
          <w:trHeight w:val="2938"/>
        </w:trPr>
        <w:tc>
          <w:tcPr>
            <w:tcW w:w="4975" w:type="dxa"/>
            <w:hideMark/>
          </w:tcPr>
          <w:p w:rsidR="00E757B1" w:rsidRDefault="00E757B1">
            <w:pPr>
              <w:spacing w:line="252" w:lineRule="auto"/>
              <w:jc w:val="both"/>
              <w:rPr>
                <w:sz w:val="22"/>
                <w:szCs w:val="22"/>
                <w:lang w:val="en-GB"/>
              </w:rPr>
            </w:pPr>
            <w:r>
              <w:rPr>
                <w:noProof/>
                <w:szCs w:val="22"/>
                <w:lang w:val="fr-FR" w:eastAsia="zh-CN"/>
              </w:rPr>
              <w:drawing>
                <wp:inline distT="0" distB="0" distL="0" distR="0">
                  <wp:extent cx="3043555" cy="2033270"/>
                  <wp:effectExtent l="19050" t="0" r="4445" b="0"/>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3043555" cy="2033270"/>
                          </a:xfrm>
                          <a:prstGeom prst="rect">
                            <a:avLst/>
                          </a:prstGeom>
                          <a:noFill/>
                          <a:ln w="9525">
                            <a:noFill/>
                            <a:miter lim="800000"/>
                            <a:headEnd/>
                            <a:tailEnd/>
                          </a:ln>
                        </pic:spPr>
                      </pic:pic>
                    </a:graphicData>
                  </a:graphic>
                </wp:inline>
              </w:drawing>
            </w:r>
          </w:p>
          <w:p w:rsidR="00E757B1" w:rsidRDefault="00E757B1">
            <w:pPr>
              <w:pStyle w:val="PFCBulletedText2"/>
              <w:ind w:left="0" w:firstLine="0"/>
              <w:jc w:val="left"/>
              <w:rPr>
                <w:b/>
                <w:sz w:val="18"/>
                <w:szCs w:val="18"/>
              </w:rPr>
            </w:pPr>
            <w:r>
              <w:rPr>
                <w:b/>
                <w:sz w:val="18"/>
                <w:szCs w:val="18"/>
              </w:rPr>
              <w:t xml:space="preserve">Figure </w:t>
            </w:r>
            <w:r w:rsidR="004C2905">
              <w:rPr>
                <w:b/>
                <w:sz w:val="18"/>
                <w:szCs w:val="18"/>
              </w:rPr>
              <w:t>6.</w:t>
            </w:r>
            <w:r>
              <w:rPr>
                <w:b/>
                <w:sz w:val="18"/>
                <w:szCs w:val="18"/>
              </w:rPr>
              <w:t>3:    Global LNG Fleet by Containment System, 2012</w:t>
            </w:r>
          </w:p>
          <w:p w:rsidR="00E757B1" w:rsidRDefault="00E757B1">
            <w:pPr>
              <w:pStyle w:val="PFCBulletedText2"/>
              <w:ind w:left="0" w:firstLine="0"/>
              <w:jc w:val="left"/>
              <w:rPr>
                <w:i/>
                <w:sz w:val="16"/>
                <w:szCs w:val="16"/>
              </w:rPr>
            </w:pPr>
            <w:r>
              <w:rPr>
                <w:i/>
                <w:sz w:val="16"/>
                <w:szCs w:val="16"/>
              </w:rPr>
              <w:t>Sources: PFC Energy Global LNG Service</w:t>
            </w:r>
          </w:p>
        </w:tc>
      </w:tr>
    </w:tbl>
    <w:p w:rsidR="00E757B1" w:rsidRDefault="00EE543A" w:rsidP="00645870">
      <w:pPr>
        <w:pStyle w:val="Titre2"/>
        <w:rPr>
          <w:lang w:val="en-GB"/>
        </w:rPr>
      </w:pPr>
      <w:bookmarkStart w:id="35" w:name="_Toc360628256"/>
      <w:r>
        <w:rPr>
          <w:lang w:val="en-GB"/>
        </w:rPr>
        <w:t>6</w:t>
      </w:r>
      <w:r w:rsidR="00E757B1">
        <w:rPr>
          <w:lang w:val="en-GB"/>
        </w:rPr>
        <w:t>.3 VESSEL CAPACITY AND AGE</w:t>
      </w:r>
      <w:bookmarkEnd w:id="35"/>
    </w:p>
    <w:p w:rsidR="00E757B1" w:rsidRDefault="00E757B1" w:rsidP="00E757B1">
      <w:pPr>
        <w:spacing w:line="252" w:lineRule="auto"/>
        <w:jc w:val="both"/>
        <w:rPr>
          <w:sz w:val="22"/>
          <w:szCs w:val="22"/>
          <w:lang w:val="en-GB"/>
        </w:rPr>
      </w:pPr>
    </w:p>
    <w:p w:rsidR="00E757B1" w:rsidRDefault="00E757B1" w:rsidP="00E757B1">
      <w:pPr>
        <w:spacing w:line="252" w:lineRule="auto"/>
        <w:jc w:val="both"/>
        <w:rPr>
          <w:sz w:val="18"/>
          <w:lang w:val="en-GB"/>
        </w:rPr>
      </w:pPr>
      <w:r>
        <w:rPr>
          <w:sz w:val="18"/>
          <w:lang w:val="en-GB"/>
        </w:rPr>
        <w:t xml:space="preserve">The size of LNG carriers ranges significantly, but more recent additions to the fleet demonstrate a bias toward vessels with larger capacities.  The smallest cross-border LNG vessels, typically 18,000 cm to 40,000 cm, are mostly used to transport LNG from Southeast Asia to smaller terminals in Japan. There are also much smaller carriers – 18,000 cm and below – which are used in domestic and coastal trades, facilitating delivery of LNG to remote areas.  </w:t>
      </w:r>
    </w:p>
    <w:p w:rsidR="00645870" w:rsidRDefault="00645870" w:rsidP="00E757B1">
      <w:pPr>
        <w:spacing w:line="252" w:lineRule="auto"/>
        <w:jc w:val="both"/>
        <w:rPr>
          <w:sz w:val="18"/>
          <w:lang w:val="en-GB"/>
        </w:rPr>
      </w:pPr>
    </w:p>
    <w:tbl>
      <w:tblPr>
        <w:tblpPr w:leftFromText="180" w:rightFromText="180" w:vertAnchor="text" w:horzAnchor="margin" w:tblpY="1829"/>
        <w:tblOverlap w:val="never"/>
        <w:tblW w:w="10395" w:type="dxa"/>
        <w:tblLayout w:type="fixed"/>
        <w:tblLook w:val="01E0"/>
      </w:tblPr>
      <w:tblGrid>
        <w:gridCol w:w="10395"/>
      </w:tblGrid>
      <w:tr w:rsidR="0062093F" w:rsidTr="0062093F">
        <w:trPr>
          <w:trHeight w:val="2953"/>
        </w:trPr>
        <w:tc>
          <w:tcPr>
            <w:tcW w:w="10395" w:type="dxa"/>
            <w:hideMark/>
          </w:tcPr>
          <w:p w:rsidR="0062093F" w:rsidRDefault="0062093F" w:rsidP="0062093F">
            <w:pPr>
              <w:pStyle w:val="PFCBulletedText2"/>
              <w:spacing w:before="120" w:after="0"/>
              <w:ind w:left="0" w:firstLine="0"/>
              <w:jc w:val="left"/>
            </w:pPr>
            <w:r>
              <w:rPr>
                <w:noProof/>
                <w:lang w:val="fr-FR" w:eastAsia="zh-CN"/>
              </w:rPr>
              <w:drawing>
                <wp:inline distT="0" distB="0" distL="0" distR="0">
                  <wp:extent cx="6455410" cy="1788160"/>
                  <wp:effectExtent l="19050" t="0" r="254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srcRect/>
                          <a:stretch>
                            <a:fillRect/>
                          </a:stretch>
                        </pic:blipFill>
                        <pic:spPr bwMode="auto">
                          <a:xfrm>
                            <a:off x="0" y="0"/>
                            <a:ext cx="6455410" cy="1788160"/>
                          </a:xfrm>
                          <a:prstGeom prst="rect">
                            <a:avLst/>
                          </a:prstGeom>
                          <a:noFill/>
                          <a:ln w="9525">
                            <a:noFill/>
                            <a:miter lim="800000"/>
                            <a:headEnd/>
                            <a:tailEnd/>
                          </a:ln>
                        </pic:spPr>
                      </pic:pic>
                    </a:graphicData>
                  </a:graphic>
                </wp:inline>
              </w:drawing>
            </w:r>
          </w:p>
          <w:p w:rsidR="0062093F" w:rsidRDefault="0062093F" w:rsidP="0062093F">
            <w:pPr>
              <w:pStyle w:val="PFCBulletedText2"/>
              <w:spacing w:before="120" w:after="0"/>
              <w:ind w:left="0" w:firstLine="0"/>
              <w:jc w:val="left"/>
              <w:rPr>
                <w:b/>
                <w:sz w:val="18"/>
                <w:szCs w:val="18"/>
              </w:rPr>
            </w:pPr>
            <w:r>
              <w:rPr>
                <w:b/>
                <w:sz w:val="18"/>
                <w:szCs w:val="18"/>
              </w:rPr>
              <w:t>Figure 6.5: Estimated LNG Charter Rates and New-build Orders</w:t>
            </w:r>
          </w:p>
          <w:p w:rsidR="0062093F" w:rsidRDefault="0062093F" w:rsidP="0062093F">
            <w:pPr>
              <w:pStyle w:val="PFCBulletedText2"/>
              <w:ind w:left="0" w:firstLine="0"/>
              <w:jc w:val="left"/>
              <w:rPr>
                <w:sz w:val="16"/>
                <w:szCs w:val="16"/>
              </w:rPr>
            </w:pPr>
            <w:r>
              <w:rPr>
                <w:i/>
                <w:sz w:val="16"/>
                <w:szCs w:val="16"/>
              </w:rPr>
              <w:t>Source:  PFC Energy Global LNG Service</w:t>
            </w:r>
          </w:p>
        </w:tc>
      </w:tr>
    </w:tbl>
    <w:p w:rsidR="00E757B1" w:rsidRDefault="00E757B1" w:rsidP="00E757B1">
      <w:pPr>
        <w:spacing w:line="252" w:lineRule="auto"/>
        <w:jc w:val="both"/>
        <w:rPr>
          <w:sz w:val="18"/>
          <w:lang w:val="en-GB"/>
        </w:rPr>
      </w:pPr>
      <w:r>
        <w:rPr>
          <w:sz w:val="18"/>
          <w:lang w:val="en-GB"/>
        </w:rPr>
        <w:t xml:space="preserve">The most common class of LNG carrier has a capacity between 125,000-149,000 cm, representing 62% of the global fleet.  The vast majority of </w:t>
      </w:r>
      <w:r w:rsidR="00F926CA">
        <w:rPr>
          <w:sz w:val="18"/>
          <w:lang w:val="en-GB"/>
        </w:rPr>
        <w:t>new-build</w:t>
      </w:r>
      <w:r>
        <w:rPr>
          <w:sz w:val="18"/>
          <w:lang w:val="en-GB"/>
        </w:rPr>
        <w:t xml:space="preserve"> orders over the past decade were in the next capacity category, 150,000 cm to 177,000 cm. Existing vessels of this size were 19% of the current fleet, and represented the biggest source of growth for </w:t>
      </w:r>
      <w:r w:rsidR="00F926CA">
        <w:rPr>
          <w:sz w:val="18"/>
          <w:lang w:val="en-GB"/>
        </w:rPr>
        <w:t>new-build</w:t>
      </w:r>
      <w:r>
        <w:rPr>
          <w:sz w:val="18"/>
          <w:lang w:val="en-GB"/>
        </w:rPr>
        <w:t xml:space="preserve"> orders.  Finally, the largest category of LNG vessel is the Q-Series, which is composed by Q-Flex (210,000-217,000 cm) and Q-Max (261,700-266,000 cm).</w:t>
      </w:r>
    </w:p>
    <w:p w:rsidR="00E757B1" w:rsidRDefault="00E757B1"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The average age of the global LNG fleet at the end of 2012 was approximately 12 years; a reflection of the last cyclical </w:t>
      </w:r>
      <w:r w:rsidR="00F926CA">
        <w:rPr>
          <w:sz w:val="18"/>
          <w:lang w:val="en-GB"/>
        </w:rPr>
        <w:t>new-build</w:t>
      </w:r>
      <w:r>
        <w:rPr>
          <w:sz w:val="18"/>
          <w:lang w:val="en-GB"/>
        </w:rPr>
        <w:t xml:space="preserve"> order boom that occurred in 2004.  87% of the vessels in the global fleet were under 25 years of age.  In general, safety and operating economics dictate that vessel owners begin considering retiring a vessel after it reaches the age of 30, although several vessels may operate for closer to 40 years.</w:t>
      </w:r>
    </w:p>
    <w:p w:rsidR="00E757B1" w:rsidRDefault="00E757B1"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At the end of 2012, approximately 11% of the global fleet was over 30 years in age.   The strong performance of the short-term charter market encouraged many vessel owners to postpone the retirement of older tonnage. </w:t>
      </w:r>
    </w:p>
    <w:p w:rsidR="00E757B1" w:rsidRDefault="00EE543A" w:rsidP="00645870">
      <w:pPr>
        <w:pStyle w:val="Titre2"/>
        <w:rPr>
          <w:sz w:val="22"/>
          <w:szCs w:val="22"/>
          <w:lang w:val="en-GB"/>
        </w:rPr>
      </w:pPr>
      <w:bookmarkStart w:id="36" w:name="_Toc360628257"/>
      <w:proofErr w:type="gramStart"/>
      <w:r>
        <w:rPr>
          <w:lang w:val="en-GB"/>
        </w:rPr>
        <w:t>6</w:t>
      </w:r>
      <w:r w:rsidR="00E757B1">
        <w:rPr>
          <w:lang w:val="en-GB"/>
        </w:rPr>
        <w:t>.4  CHARTER</w:t>
      </w:r>
      <w:proofErr w:type="gramEnd"/>
      <w:r w:rsidR="00E757B1">
        <w:rPr>
          <w:lang w:val="en-GB"/>
        </w:rPr>
        <w:t xml:space="preserve"> MARKET</w:t>
      </w:r>
      <w:bookmarkEnd w:id="36"/>
    </w:p>
    <w:p w:rsidR="00E757B1" w:rsidRDefault="00E757B1" w:rsidP="00E757B1">
      <w:pPr>
        <w:spacing w:line="252" w:lineRule="auto"/>
        <w:jc w:val="both"/>
        <w:rPr>
          <w:color w:val="FF0000"/>
          <w:sz w:val="18"/>
          <w:lang w:val="en-GB"/>
        </w:rPr>
      </w:pPr>
    </w:p>
    <w:p w:rsidR="00E757B1" w:rsidRDefault="00E757B1" w:rsidP="00E757B1">
      <w:pPr>
        <w:spacing w:line="252" w:lineRule="auto"/>
        <w:jc w:val="both"/>
        <w:rPr>
          <w:sz w:val="18"/>
          <w:lang w:val="en-GB"/>
        </w:rPr>
      </w:pPr>
      <w:r>
        <w:rPr>
          <w:sz w:val="18"/>
          <w:lang w:val="en-GB"/>
        </w:rPr>
        <w:t xml:space="preserve">Momentum established in 2011 following the Fukushima nuclear crisis propelled charter rates in first half of 2012.  Incremental demand for spot cargoes particularly in the Japanese market and in South America underpinned the short-term charter market during the first half of the year.  This dynamic would ultimately change in second half of 2012 for two reasons.  First, incremental demand for spot volumes </w:t>
      </w:r>
      <w:r>
        <w:rPr>
          <w:sz w:val="18"/>
          <w:lang w:val="en-GB"/>
        </w:rPr>
        <w:lastRenderedPageBreak/>
        <w:t xml:space="preserve">from markets in northwest Asia began to subside.  In addition, outages at key LNG export plants would both reduce the amount of LNG supply in need of transport, and also temporarily release associated shipping assets into the </w:t>
      </w:r>
    </w:p>
    <w:p w:rsidR="00E757B1" w:rsidRDefault="00E757B1" w:rsidP="00E757B1">
      <w:pPr>
        <w:spacing w:line="252" w:lineRule="auto"/>
        <w:jc w:val="both"/>
        <w:rPr>
          <w:sz w:val="18"/>
          <w:lang w:val="en-GB"/>
        </w:rPr>
      </w:pPr>
      <w:proofErr w:type="gramStart"/>
      <w:r>
        <w:rPr>
          <w:sz w:val="18"/>
          <w:lang w:val="en-GB"/>
        </w:rPr>
        <w:t>short-term</w:t>
      </w:r>
      <w:proofErr w:type="gramEnd"/>
      <w:r>
        <w:rPr>
          <w:sz w:val="18"/>
          <w:lang w:val="en-GB"/>
        </w:rPr>
        <w:t xml:space="preserve"> charter market. </w:t>
      </w:r>
    </w:p>
    <w:p w:rsidR="00E757B1" w:rsidRDefault="00E757B1"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By the end of 2012, spot rates for modern tonnage moderated to the level of $120,000/day and were poised to experience further weakness to the $110,000/day level in 1Q 2013.  A very small number of long-term charters for modern tonnage were signed at or above the $90,000/day level, but NPV economics continued to anchor the majority of deals signed for five years or more at around $80,000/day.   </w:t>
      </w:r>
    </w:p>
    <w:p w:rsidR="00E757B1" w:rsidRDefault="00EE543A" w:rsidP="00645870">
      <w:pPr>
        <w:pStyle w:val="Titre2"/>
        <w:rPr>
          <w:color w:val="FF0000"/>
          <w:lang w:val="en-GB"/>
        </w:rPr>
      </w:pPr>
      <w:bookmarkStart w:id="37" w:name="_Toc360628258"/>
      <w:r>
        <w:rPr>
          <w:lang w:val="en-GB"/>
        </w:rPr>
        <w:t>6</w:t>
      </w:r>
      <w:r w:rsidR="00E757B1">
        <w:rPr>
          <w:lang w:val="en-GB"/>
        </w:rPr>
        <w:t xml:space="preserve">.5 FLEET AND </w:t>
      </w:r>
      <w:r w:rsidR="00F926CA">
        <w:rPr>
          <w:lang w:val="en-GB"/>
        </w:rPr>
        <w:t>NEW-BUILD</w:t>
      </w:r>
      <w:r w:rsidR="00E757B1">
        <w:rPr>
          <w:lang w:val="en-GB"/>
        </w:rPr>
        <w:t xml:space="preserve"> ORDERS</w:t>
      </w:r>
      <w:bookmarkEnd w:id="37"/>
    </w:p>
    <w:p w:rsidR="00E757B1" w:rsidRDefault="00E757B1" w:rsidP="00E757B1">
      <w:pPr>
        <w:spacing w:line="252" w:lineRule="auto"/>
        <w:jc w:val="both"/>
        <w:rPr>
          <w:color w:val="FF0000"/>
          <w:sz w:val="18"/>
          <w:lang w:val="en-GB"/>
        </w:rPr>
      </w:pPr>
    </w:p>
    <w:tbl>
      <w:tblPr>
        <w:tblpPr w:leftFromText="180" w:rightFromText="180" w:vertAnchor="text" w:horzAnchor="margin" w:tblpY="6262"/>
        <w:tblW w:w="10502" w:type="dxa"/>
        <w:tblLayout w:type="fixed"/>
        <w:tblLook w:val="01E0"/>
      </w:tblPr>
      <w:tblGrid>
        <w:gridCol w:w="10502"/>
      </w:tblGrid>
      <w:tr w:rsidR="00514C0C" w:rsidTr="008E19F8">
        <w:trPr>
          <w:trHeight w:val="2580"/>
        </w:trPr>
        <w:tc>
          <w:tcPr>
            <w:tcW w:w="10502" w:type="dxa"/>
            <w:hideMark/>
          </w:tcPr>
          <w:p w:rsidR="00514C0C" w:rsidRDefault="00514C0C" w:rsidP="008E19F8">
            <w:pPr>
              <w:pStyle w:val="PFCBulletedText2"/>
              <w:spacing w:before="120" w:after="0"/>
              <w:ind w:left="0" w:firstLine="0"/>
              <w:jc w:val="left"/>
            </w:pPr>
            <w:r>
              <w:rPr>
                <w:noProof/>
                <w:lang w:val="fr-FR" w:eastAsia="zh-CN"/>
              </w:rPr>
              <w:drawing>
                <wp:inline distT="0" distB="0" distL="0" distR="0">
                  <wp:extent cx="6455410" cy="1842135"/>
                  <wp:effectExtent l="19050" t="0" r="2540"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6455410" cy="1842135"/>
                          </a:xfrm>
                          <a:prstGeom prst="rect">
                            <a:avLst/>
                          </a:prstGeom>
                          <a:noFill/>
                          <a:ln w="9525">
                            <a:noFill/>
                            <a:miter lim="800000"/>
                            <a:headEnd/>
                            <a:tailEnd/>
                          </a:ln>
                        </pic:spPr>
                      </pic:pic>
                    </a:graphicData>
                  </a:graphic>
                </wp:inline>
              </w:drawing>
            </w:r>
          </w:p>
          <w:p w:rsidR="00514C0C" w:rsidRDefault="00514C0C" w:rsidP="008E19F8">
            <w:pPr>
              <w:pStyle w:val="PFCBulletedText2"/>
              <w:spacing w:before="120" w:after="0"/>
              <w:ind w:left="0" w:firstLine="0"/>
              <w:jc w:val="left"/>
              <w:rPr>
                <w:b/>
                <w:sz w:val="18"/>
                <w:szCs w:val="18"/>
              </w:rPr>
            </w:pPr>
            <w:r>
              <w:rPr>
                <w:b/>
                <w:sz w:val="18"/>
                <w:szCs w:val="18"/>
              </w:rPr>
              <w:t xml:space="preserve">Figure 6.6: </w:t>
            </w:r>
            <w:r w:rsidR="00F926CA">
              <w:rPr>
                <w:b/>
                <w:sz w:val="18"/>
                <w:szCs w:val="18"/>
              </w:rPr>
              <w:t>New-build</w:t>
            </w:r>
            <w:r>
              <w:rPr>
                <w:b/>
                <w:sz w:val="18"/>
                <w:szCs w:val="18"/>
              </w:rPr>
              <w:t xml:space="preserve"> Orders (3 or more vessels)</w:t>
            </w:r>
          </w:p>
          <w:p w:rsidR="00514C0C" w:rsidRDefault="00514C0C" w:rsidP="008E19F8">
            <w:pPr>
              <w:pStyle w:val="PFCBulletedText2"/>
              <w:ind w:left="0" w:firstLine="0"/>
              <w:jc w:val="left"/>
              <w:rPr>
                <w:sz w:val="16"/>
                <w:szCs w:val="16"/>
              </w:rPr>
            </w:pPr>
            <w:r>
              <w:rPr>
                <w:i/>
                <w:sz w:val="16"/>
                <w:szCs w:val="16"/>
              </w:rPr>
              <w:t>Source:  PFC Energy Global LNG Service</w:t>
            </w:r>
          </w:p>
        </w:tc>
      </w:tr>
    </w:tbl>
    <w:p w:rsidR="00E757B1" w:rsidRDefault="00E757B1" w:rsidP="00E757B1">
      <w:pPr>
        <w:spacing w:line="252" w:lineRule="auto"/>
        <w:jc w:val="both"/>
        <w:rPr>
          <w:sz w:val="18"/>
          <w:lang w:val="en-GB"/>
        </w:rPr>
      </w:pPr>
      <w:r>
        <w:rPr>
          <w:sz w:val="18"/>
          <w:lang w:val="en-GB"/>
        </w:rPr>
        <w:t xml:space="preserve">During the first seven months of the 2012, shipping concerns placed orders for 27 vessels.  The composition of order book during this period was a continuation of a boom in </w:t>
      </w:r>
      <w:r w:rsidR="00F926CA">
        <w:rPr>
          <w:sz w:val="18"/>
          <w:lang w:val="en-GB"/>
        </w:rPr>
        <w:t>new-build</w:t>
      </w:r>
      <w:r>
        <w:rPr>
          <w:sz w:val="18"/>
          <w:lang w:val="en-GB"/>
        </w:rPr>
        <w:t xml:space="preserve"> orders without firm charter contracts that had occurred since the Fukushima incident.  In 1H 2012, 13 out of 21 </w:t>
      </w:r>
      <w:r w:rsidR="00F926CA">
        <w:rPr>
          <w:sz w:val="18"/>
          <w:lang w:val="en-GB"/>
        </w:rPr>
        <w:t>new-build</w:t>
      </w:r>
      <w:r>
        <w:rPr>
          <w:sz w:val="18"/>
          <w:lang w:val="en-GB"/>
        </w:rPr>
        <w:t xml:space="preserve"> orders were placed without firm charter contracts.  The pace of speculative orders decreased in the final six months of the year, during which only six of 19 orders were placed on an unchartered basis.  The 2012 order book totalled two FSRU orders and 38 conventional carriers.</w:t>
      </w:r>
    </w:p>
    <w:p w:rsidR="00E757B1" w:rsidRDefault="00E757B1" w:rsidP="00E757B1">
      <w:pPr>
        <w:jc w:val="both"/>
        <w:rPr>
          <w:sz w:val="18"/>
          <w:lang w:val="en-GB"/>
        </w:rPr>
      </w:pPr>
      <w:r>
        <w:rPr>
          <w:sz w:val="18"/>
          <w:lang w:val="en-GB"/>
        </w:rPr>
        <w:t xml:space="preserve">  </w:t>
      </w:r>
    </w:p>
    <w:p w:rsidR="00E757B1" w:rsidRDefault="00E757B1" w:rsidP="00E757B1">
      <w:pPr>
        <w:spacing w:line="252" w:lineRule="auto"/>
        <w:jc w:val="both"/>
        <w:rPr>
          <w:sz w:val="18"/>
          <w:lang w:val="en-GB"/>
        </w:rPr>
      </w:pPr>
      <w:r>
        <w:rPr>
          <w:sz w:val="18"/>
          <w:lang w:val="en-GB"/>
        </w:rPr>
        <w:t>The largest players in the market have traditionally been NOC-affiliated shipping companies. In 2011 and 2012, other players made a push into the ranks of the largest LNG carrier owners.  Independent shipping companies have been quite aggressive in making orders during the post-Fukushima period.  As charter markets for other forms of</w:t>
      </w:r>
    </w:p>
    <w:p w:rsidR="00E757B1" w:rsidRDefault="00E757B1" w:rsidP="00E757B1">
      <w:pPr>
        <w:spacing w:line="252" w:lineRule="auto"/>
        <w:jc w:val="both"/>
        <w:rPr>
          <w:sz w:val="18"/>
          <w:lang w:val="en-GB"/>
        </w:rPr>
      </w:pPr>
      <w:proofErr w:type="gramStart"/>
      <w:r>
        <w:rPr>
          <w:sz w:val="18"/>
          <w:lang w:val="en-GB"/>
        </w:rPr>
        <w:t>shipping</w:t>
      </w:r>
      <w:proofErr w:type="gramEnd"/>
      <w:r>
        <w:rPr>
          <w:sz w:val="18"/>
          <w:lang w:val="en-GB"/>
        </w:rPr>
        <w:t xml:space="preserve"> such as dry bulk and VLCC experienced cyclical downturns, shipping companies </w:t>
      </w:r>
      <w:r w:rsidR="001B55B3">
        <w:rPr>
          <w:sz w:val="18"/>
          <w:lang w:val="en-GB"/>
        </w:rPr>
        <w:t xml:space="preserve">took advantage of the </w:t>
      </w:r>
      <w:r>
        <w:rPr>
          <w:sz w:val="18"/>
          <w:lang w:val="en-GB"/>
        </w:rPr>
        <w:t xml:space="preserve"> counter-cyclical opportunity offered by the tightening LNG charter market. </w:t>
      </w:r>
    </w:p>
    <w:p w:rsidR="00E757B1" w:rsidRDefault="00E757B1"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Based on the desire of independent shipping companies to gain market share, nearly half of the 40 vessels ordered in 2012 finished the year without a charter deal.  Independents placed their uncovered orders based on the belief that new sources of LNG supply and demand would entail greater demand for LNG transportation.  However, the flurry </w:t>
      </w:r>
      <w:r w:rsidR="00F926CA">
        <w:rPr>
          <w:sz w:val="18"/>
          <w:lang w:val="en-GB"/>
        </w:rPr>
        <w:t>new-</w:t>
      </w:r>
      <w:r w:rsidR="00F926CA">
        <w:rPr>
          <w:sz w:val="18"/>
          <w:lang w:val="en-GB"/>
        </w:rPr>
        <w:lastRenderedPageBreak/>
        <w:t>build</w:t>
      </w:r>
      <w:r>
        <w:rPr>
          <w:sz w:val="18"/>
          <w:lang w:val="en-GB"/>
        </w:rPr>
        <w:t xml:space="preserve"> vessel orders associated with LNG project or LNG offtaker charters toward the end of 2012 augured poorly for this thesis.  For as long as liquefaction projects and LNG offtakers with long-term horizons for shipping can take advantage of cyclically weak prices for </w:t>
      </w:r>
      <w:r w:rsidR="00F926CA">
        <w:rPr>
          <w:sz w:val="18"/>
          <w:lang w:val="en-GB"/>
        </w:rPr>
        <w:t>new-build</w:t>
      </w:r>
      <w:r>
        <w:rPr>
          <w:sz w:val="18"/>
          <w:lang w:val="en-GB"/>
        </w:rPr>
        <w:t xml:space="preserve"> vessels, there is little incentive to pay a premium to charter existing </w:t>
      </w:r>
      <w:r w:rsidR="00F926CA">
        <w:rPr>
          <w:sz w:val="18"/>
          <w:lang w:val="en-GB"/>
        </w:rPr>
        <w:t>new-build</w:t>
      </w:r>
      <w:r>
        <w:rPr>
          <w:sz w:val="18"/>
          <w:lang w:val="en-GB"/>
        </w:rPr>
        <w:t xml:space="preserve"> order capacity originally ordered on a speculative basis. </w:t>
      </w:r>
    </w:p>
    <w:p w:rsidR="00E757B1" w:rsidRDefault="00E757B1" w:rsidP="00E757B1">
      <w:pPr>
        <w:spacing w:line="252" w:lineRule="auto"/>
        <w:jc w:val="both"/>
        <w:rPr>
          <w:sz w:val="18"/>
          <w:lang w:val="en-GB"/>
        </w:rPr>
      </w:pPr>
    </w:p>
    <w:p w:rsidR="00E757B1" w:rsidRDefault="00645870" w:rsidP="00645870">
      <w:pPr>
        <w:pStyle w:val="Titre2"/>
        <w:rPr>
          <w:lang w:val="en-GB"/>
        </w:rPr>
      </w:pPr>
      <w:bookmarkStart w:id="38" w:name="_Toc360628259"/>
      <w:r>
        <w:rPr>
          <w:lang w:val="en-GB"/>
        </w:rPr>
        <w:t>6</w:t>
      </w:r>
      <w:r w:rsidR="00E757B1">
        <w:rPr>
          <w:lang w:val="en-GB"/>
        </w:rPr>
        <w:t>.6 LIQUEFACTION AND SHIPPING CAPACITY GROWTH</w:t>
      </w:r>
      <w:bookmarkEnd w:id="38"/>
    </w:p>
    <w:p w:rsidR="00E757B1" w:rsidRDefault="00E757B1"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During the first half of the 2000s, LNG production and shipping capacity closely tracked each other.  This trend began to evolve when a boom in </w:t>
      </w:r>
      <w:r w:rsidR="00F926CA">
        <w:rPr>
          <w:sz w:val="18"/>
          <w:lang w:val="en-GB"/>
        </w:rPr>
        <w:t>new-build</w:t>
      </w:r>
      <w:r>
        <w:rPr>
          <w:sz w:val="18"/>
          <w:lang w:val="en-GB"/>
        </w:rPr>
        <w:t xml:space="preserve"> orders driven by IOCs, independent shipping companies and Q-Series vessels associated with the new Qatari trains occurred in the middle of the decade.  The increase in new shipping capacity that resulted in the second half of the decade outstripped production, creating a weak charter market for vessels unable to participate in the shipping of long-term FOB or ex-ship contracts.   </w:t>
      </w:r>
    </w:p>
    <w:tbl>
      <w:tblPr>
        <w:tblpPr w:leftFromText="180" w:rightFromText="180" w:vertAnchor="text" w:horzAnchor="margin" w:tblpXSpec="right" w:tblpY="91"/>
        <w:tblW w:w="4980" w:type="dxa"/>
        <w:tblLayout w:type="fixed"/>
        <w:tblLook w:val="01E0"/>
      </w:tblPr>
      <w:tblGrid>
        <w:gridCol w:w="4980"/>
      </w:tblGrid>
      <w:tr w:rsidR="00E757B1" w:rsidTr="00E757B1">
        <w:trPr>
          <w:trHeight w:val="2938"/>
        </w:trPr>
        <w:tc>
          <w:tcPr>
            <w:tcW w:w="4975" w:type="dxa"/>
            <w:hideMark/>
          </w:tcPr>
          <w:p w:rsidR="00E757B1" w:rsidRDefault="00E757B1">
            <w:pPr>
              <w:pStyle w:val="PFCBulletedText2"/>
              <w:spacing w:before="120" w:after="0"/>
              <w:ind w:left="0" w:firstLine="0"/>
              <w:jc w:val="left"/>
              <w:rPr>
                <w:noProof/>
                <w:lang w:eastAsia="en-US"/>
              </w:rPr>
            </w:pPr>
            <w:r>
              <w:rPr>
                <w:noProof/>
                <w:lang w:val="fr-FR" w:eastAsia="zh-CN"/>
              </w:rPr>
              <w:drawing>
                <wp:inline distT="0" distB="0" distL="0" distR="0">
                  <wp:extent cx="3016250" cy="2074545"/>
                  <wp:effectExtent l="19050" t="0" r="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3016250" cy="2074545"/>
                          </a:xfrm>
                          <a:prstGeom prst="rect">
                            <a:avLst/>
                          </a:prstGeom>
                          <a:noFill/>
                          <a:ln w="9525">
                            <a:noFill/>
                            <a:miter lim="800000"/>
                            <a:headEnd/>
                            <a:tailEnd/>
                          </a:ln>
                        </pic:spPr>
                      </pic:pic>
                    </a:graphicData>
                  </a:graphic>
                </wp:inline>
              </w:drawing>
            </w:r>
          </w:p>
          <w:p w:rsidR="00E757B1" w:rsidRDefault="00E757B1">
            <w:pPr>
              <w:pStyle w:val="PFCBulletedText2"/>
              <w:ind w:left="0" w:firstLine="0"/>
              <w:jc w:val="left"/>
              <w:rPr>
                <w:b/>
                <w:sz w:val="18"/>
                <w:szCs w:val="18"/>
              </w:rPr>
            </w:pPr>
            <w:r>
              <w:rPr>
                <w:b/>
                <w:sz w:val="18"/>
                <w:szCs w:val="18"/>
              </w:rPr>
              <w:t xml:space="preserve">Figure </w:t>
            </w:r>
            <w:r w:rsidR="004C2905">
              <w:rPr>
                <w:b/>
                <w:sz w:val="18"/>
                <w:szCs w:val="18"/>
              </w:rPr>
              <w:t>6.</w:t>
            </w:r>
            <w:r>
              <w:rPr>
                <w:b/>
                <w:sz w:val="18"/>
                <w:szCs w:val="18"/>
              </w:rPr>
              <w:t xml:space="preserve">7:  </w:t>
            </w:r>
            <w:r>
              <w:t xml:space="preserve"> </w:t>
            </w:r>
            <w:r>
              <w:rPr>
                <w:b/>
                <w:sz w:val="18"/>
                <w:szCs w:val="18"/>
              </w:rPr>
              <w:t xml:space="preserve">Liquefaction and Shipping Capacity Growth </w:t>
            </w:r>
            <w:r>
              <w:rPr>
                <w:b/>
                <w:color w:val="FF0000"/>
                <w:sz w:val="18"/>
                <w:szCs w:val="18"/>
              </w:rPr>
              <w:t xml:space="preserve"> </w:t>
            </w:r>
            <w:r>
              <w:rPr>
                <w:b/>
                <w:sz w:val="18"/>
                <w:szCs w:val="18"/>
              </w:rPr>
              <w:t xml:space="preserve">      </w:t>
            </w:r>
          </w:p>
          <w:p w:rsidR="00E757B1" w:rsidRDefault="00E757B1">
            <w:pPr>
              <w:pStyle w:val="PFCBulletedText2"/>
              <w:ind w:left="0" w:firstLine="0"/>
              <w:jc w:val="left"/>
              <w:rPr>
                <w:b/>
                <w:sz w:val="18"/>
                <w:szCs w:val="18"/>
              </w:rPr>
            </w:pPr>
            <w:r>
              <w:rPr>
                <w:i/>
                <w:sz w:val="16"/>
                <w:szCs w:val="16"/>
              </w:rPr>
              <w:t>Sources: PFC Energy Global LNG Service</w:t>
            </w:r>
          </w:p>
        </w:tc>
      </w:tr>
    </w:tbl>
    <w:p w:rsidR="008E2C86" w:rsidRDefault="008E2C86" w:rsidP="00E757B1">
      <w:pPr>
        <w:spacing w:line="252" w:lineRule="auto"/>
        <w:jc w:val="both"/>
        <w:rPr>
          <w:sz w:val="18"/>
          <w:lang w:val="en-GB"/>
        </w:rPr>
      </w:pPr>
    </w:p>
    <w:p w:rsidR="00E757B1" w:rsidRDefault="00E757B1" w:rsidP="00E757B1">
      <w:pPr>
        <w:spacing w:line="252" w:lineRule="auto"/>
        <w:jc w:val="both"/>
        <w:rPr>
          <w:sz w:val="18"/>
          <w:lang w:val="en-GB"/>
        </w:rPr>
      </w:pPr>
      <w:r>
        <w:rPr>
          <w:sz w:val="18"/>
          <w:lang w:val="en-GB"/>
        </w:rPr>
        <w:t xml:space="preserve">Short-term charter rates began to strengthen starting in late </w:t>
      </w:r>
      <w:r>
        <w:rPr>
          <w:sz w:val="18"/>
          <w:lang w:val="en-GB"/>
        </w:rPr>
        <w:lastRenderedPageBreak/>
        <w:t xml:space="preserve">2010 due to higher levels of cross-basin arbitrage, encouraged by weakness in North American and European markets, would increase charter distances.  The surge in demand for distance-intensive, cross-basin spot LNG associated with the Fukushima crisis in 2011 accelerated the firming of spot-charter rates and would also momentarily lift longer term charter rates above their steady historical averages.  Fukushima also led to the current </w:t>
      </w:r>
      <w:r w:rsidR="00F926CA">
        <w:rPr>
          <w:sz w:val="18"/>
          <w:lang w:val="en-GB"/>
        </w:rPr>
        <w:t>new-build</w:t>
      </w:r>
      <w:r>
        <w:rPr>
          <w:sz w:val="18"/>
          <w:lang w:val="en-GB"/>
        </w:rPr>
        <w:t xml:space="preserve"> order cycle, which will begin to deliver new tonnage in the second half of 2013.  </w:t>
      </w:r>
    </w:p>
    <w:p w:rsidR="00E757B1" w:rsidRDefault="00E757B1"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62093F" w:rsidRDefault="0062093F" w:rsidP="00E757B1">
      <w:pPr>
        <w:widowControl/>
        <w:spacing w:line="252" w:lineRule="auto"/>
        <w:rPr>
          <w:b/>
          <w:i/>
          <w:color w:val="1B82CE" w:themeColor="accent3"/>
          <w:sz w:val="18"/>
          <w:szCs w:val="22"/>
          <w:lang w:val="en-GB"/>
        </w:rPr>
      </w:pPr>
    </w:p>
    <w:p w:rsidR="0062093F" w:rsidRDefault="0062093F"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pPr>
    </w:p>
    <w:p w:rsidR="008E19F8" w:rsidRDefault="008E19F8" w:rsidP="00E757B1">
      <w:pPr>
        <w:widowControl/>
        <w:spacing w:line="252" w:lineRule="auto"/>
        <w:rPr>
          <w:b/>
          <w:i/>
          <w:color w:val="1B82CE" w:themeColor="accent3"/>
          <w:sz w:val="18"/>
          <w:szCs w:val="22"/>
          <w:lang w:val="en-GB"/>
        </w:rPr>
        <w:sectPr w:rsidR="008E19F8">
          <w:type w:val="continuous"/>
          <w:pgSz w:w="12240" w:h="15840"/>
          <w:pgMar w:top="1728" w:right="1080" w:bottom="1080" w:left="1008" w:header="720" w:footer="504" w:gutter="0"/>
          <w:cols w:num="2" w:space="720" w:equalWidth="0">
            <w:col w:w="4860" w:space="432"/>
            <w:col w:w="4860"/>
          </w:cols>
        </w:sectPr>
      </w:pPr>
    </w:p>
    <w:p w:rsidR="0062093F" w:rsidRDefault="0062093F" w:rsidP="00E757B1">
      <w:pPr>
        <w:ind w:left="540"/>
        <w:jc w:val="both"/>
        <w:rPr>
          <w:b/>
          <w:i/>
          <w:color w:val="215A99"/>
          <w:sz w:val="18"/>
          <w:szCs w:val="22"/>
          <w:lang w:val="en-GB"/>
        </w:rPr>
      </w:pPr>
    </w:p>
    <w:p w:rsidR="00E757B1" w:rsidRDefault="00073EEA" w:rsidP="00E757B1">
      <w:pPr>
        <w:ind w:left="540"/>
        <w:jc w:val="both"/>
        <w:rPr>
          <w:i/>
          <w:lang w:val="en-GB"/>
        </w:rPr>
      </w:pPr>
      <w:r w:rsidRPr="00073EEA">
        <w:rPr>
          <w:i/>
          <w:noProof/>
          <w:lang w:eastAsia="en-US"/>
        </w:rPr>
        <w:pict>
          <v:shape id="_x0000_s1186" type="#_x0000_t202" style="position:absolute;left:0;text-align:left;margin-left:-19.65pt;margin-top:485pt;width:265.65pt;height:24.35pt;z-index:251721728;mso-width-relative:margin;mso-height-relative:margin" stroked="f" strokecolor="silver">
            <v:textbox>
              <w:txbxContent>
                <w:p w:rsidR="00856114" w:rsidRDefault="00856114" w:rsidP="0062093F">
                  <w:pPr>
                    <w:ind w:left="540"/>
                    <w:jc w:val="both"/>
                  </w:pPr>
                  <w:r>
                    <w:rPr>
                      <w:i/>
                      <w:sz w:val="18"/>
                      <w:szCs w:val="22"/>
                      <w:lang w:val="en-GB"/>
                    </w:rPr>
                    <w:t>Al-</w:t>
                  </w:r>
                  <w:proofErr w:type="spellStart"/>
                  <w:r>
                    <w:rPr>
                      <w:i/>
                      <w:sz w:val="18"/>
                      <w:szCs w:val="22"/>
                      <w:lang w:val="en-GB"/>
                    </w:rPr>
                    <w:t>Khuwair</w:t>
                  </w:r>
                  <w:proofErr w:type="spellEnd"/>
                  <w:r>
                    <w:rPr>
                      <w:i/>
                      <w:sz w:val="18"/>
                      <w:szCs w:val="22"/>
                      <w:lang w:val="en-GB"/>
                    </w:rPr>
                    <w:t xml:space="preserve"> </w:t>
                  </w:r>
                  <w:r>
                    <w:rPr>
                      <w:sz w:val="18"/>
                      <w:szCs w:val="22"/>
                      <w:lang w:val="en-GB"/>
                    </w:rPr>
                    <w:t>loading at GATE LNG in the Netherlands</w:t>
                  </w:r>
                </w:p>
              </w:txbxContent>
            </v:textbox>
          </v:shape>
        </w:pict>
      </w:r>
      <w:r w:rsidRPr="00073EEA">
        <w:rPr>
          <w:i/>
          <w:noProof/>
          <w:lang w:eastAsia="en-US"/>
        </w:rPr>
        <w:pict>
          <v:group id="_x0000_s1185" style="position:absolute;left:0;text-align:left;margin-left:11.2pt;margin-top:135.75pt;width:507.2pt;height:349.25pt;z-index:251689984" coordorigin="1232,7682" coordsize="10144,6985">
            <v:shape id="_x0000_s1105" type="#_x0000_t75" style="position:absolute;left:1232;top:7682;width:10144;height:6985;mso-width-relative:margin;mso-height-relative:margin">
              <v:imagedata r:id="rId67" o:title="_T8A9487"/>
            </v:shape>
            <v:shape id="_x0000_s1107" type="#_x0000_t202" style="position:absolute;left:1363;top:14269;width:2079;height:294;mso-width-relative:margin;mso-height-relative:margin" filled="f" stroked="f" strokecolor="silver">
              <v:textbox style="mso-next-textbox:#_x0000_s1107">
                <w:txbxContent>
                  <w:p w:rsidR="00856114" w:rsidRPr="00B72966" w:rsidRDefault="00856114" w:rsidP="00B72966">
                    <w:pPr>
                      <w:rPr>
                        <w:color w:val="FFFFFF" w:themeColor="background1"/>
                        <w:sz w:val="12"/>
                        <w:szCs w:val="12"/>
                      </w:rPr>
                    </w:pPr>
                    <w:r w:rsidRPr="00B72966">
                      <w:rPr>
                        <w:color w:val="FFFFFF" w:themeColor="background1"/>
                        <w:sz w:val="12"/>
                        <w:szCs w:val="12"/>
                      </w:rPr>
                      <w:t xml:space="preserve">© </w:t>
                    </w:r>
                    <w:proofErr w:type="spellStart"/>
                    <w:r>
                      <w:rPr>
                        <w:color w:val="FFFFFF" w:themeColor="background1"/>
                        <w:sz w:val="12"/>
                        <w:szCs w:val="12"/>
                      </w:rPr>
                      <w:t>Vopak</w:t>
                    </w:r>
                    <w:proofErr w:type="spellEnd"/>
                  </w:p>
                </w:txbxContent>
              </v:textbox>
            </v:shape>
          </v:group>
        </w:pict>
      </w:r>
      <w:r w:rsidR="00E757B1">
        <w:rPr>
          <w:b/>
          <w:i/>
          <w:color w:val="215A99"/>
          <w:sz w:val="18"/>
          <w:szCs w:val="22"/>
          <w:lang w:val="en-GB"/>
        </w:rPr>
        <w:br w:type="page"/>
      </w:r>
      <w:r w:rsidRPr="00073EEA">
        <w:lastRenderedPageBreak/>
        <w:pict>
          <v:line id="_x0000_s1062" style="position:absolute;left:0;text-align:left;flip:y;z-index:251660288;visibility:visible" from="-14.05pt,-.15pt" to="-14.05pt,19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" strokecolor="#215a99" strokeweight="2pt">
            <v:shadow opacity="24903f" origin=",.5" offset="0,.55556mm"/>
          </v:line>
        </w:pict>
      </w:r>
      <w:r w:rsidRPr="00073EEA">
        <w:pict>
          <v:shape id="_x0000_s1061" type="#_x0000_t202" style="position:absolute;left:0;text-align:left;margin-left:-9.05pt;margin-top:-3.95pt;width:30pt;height:115.6pt;z-index:251659264;mso-wrap-edited:f;mso-width-relative:margin;mso-height-relative:margin" wrapcoords="0 0 21600 0 21600 21600 0 21600 0 0" filled="f" stroked="f" strokecolor="silver">
            <v:fill o:detectmouseclick="t"/>
            <v:textbox style="layout-flow:vertical;mso-layout-flow-alt:bottom-to-top;mso-next-textbox:#_x0000_s1061" inset=",7.2pt,,7.2pt">
              <w:txbxContent>
                <w:p w:rsidR="00856114" w:rsidRDefault="00856114" w:rsidP="00E757B1">
                  <w:pPr>
                    <w:pageBreakBefore/>
                    <w:jc w:val="right"/>
                    <w:rPr>
                      <w:b/>
                      <w:i/>
                      <w:color w:val="215A99"/>
                      <w:sz w:val="24"/>
                      <w:lang w:val="en-GB"/>
                    </w:rPr>
                  </w:pPr>
                  <w:r>
                    <w:rPr>
                      <w:b/>
                      <w:i/>
                      <w:color w:val="215A99"/>
                      <w:sz w:val="24"/>
                      <w:lang w:val="en-GB"/>
                    </w:rPr>
                    <w:t>Looking Ahead:</w:t>
                  </w:r>
                </w:p>
                <w:p w:rsidR="00856114" w:rsidRDefault="00856114" w:rsidP="00E757B1">
                  <w:pPr>
                    <w:jc w:val="right"/>
                    <w:rPr>
                      <w:color w:val="215A99"/>
                      <w:sz w:val="28"/>
                    </w:rPr>
                  </w:pPr>
                </w:p>
              </w:txbxContent>
            </v:textbox>
            <w10:wrap type="through"/>
          </v:shape>
        </w:pict>
      </w:r>
      <w:r w:rsidR="00E757B1">
        <w:rPr>
          <w:b/>
          <w:i/>
          <w:color w:val="215A99"/>
          <w:sz w:val="18"/>
          <w:lang w:val="en-GB"/>
        </w:rPr>
        <w:t>Given the large number of unchartered vessels expected to come online in second half of 2013 and first half of 2014, how quickly will rates for short-term charters decline?</w:t>
      </w:r>
      <w:r w:rsidR="00E757B1">
        <w:rPr>
          <w:i/>
          <w:lang w:val="en-GB"/>
        </w:rPr>
        <w:t xml:space="preserve"> </w:t>
      </w:r>
      <w:r w:rsidR="00F37AF3">
        <w:rPr>
          <w:i/>
          <w:color w:val="215A99"/>
          <w:sz w:val="18"/>
          <w:lang w:val="en-GB"/>
        </w:rPr>
        <w:t>Few new LNG projects</w:t>
      </w:r>
      <w:r w:rsidR="00E757B1">
        <w:rPr>
          <w:i/>
          <w:color w:val="215A99"/>
          <w:sz w:val="18"/>
          <w:lang w:val="en-GB"/>
        </w:rPr>
        <w:t xml:space="preserve"> are expected to come online in 2013 and 2014</w:t>
      </w:r>
      <w:r w:rsidR="00F37AF3">
        <w:rPr>
          <w:i/>
          <w:color w:val="215A99"/>
          <w:sz w:val="18"/>
          <w:lang w:val="en-GB"/>
        </w:rPr>
        <w:t xml:space="preserve"> – compared to recent years of significant capacity additions – and their incremental shipping demand is expected to be minimal. </w:t>
      </w:r>
      <w:r w:rsidR="00E757B1">
        <w:rPr>
          <w:i/>
          <w:color w:val="215A99"/>
          <w:sz w:val="18"/>
          <w:lang w:val="en-GB"/>
        </w:rPr>
        <w:t>Unexpected demand-related events will likely provide the greatest support for short-term LNG charter market.</w:t>
      </w:r>
      <w:r w:rsidR="00E757B1">
        <w:rPr>
          <w:i/>
          <w:lang w:val="en-GB"/>
        </w:rPr>
        <w:t xml:space="preserve">     </w:t>
      </w:r>
    </w:p>
    <w:p w:rsidR="00E757B1" w:rsidRDefault="00E757B1" w:rsidP="00E757B1">
      <w:pPr>
        <w:ind w:left="540"/>
        <w:jc w:val="both"/>
        <w:rPr>
          <w:i/>
          <w:lang w:val="en-GB"/>
        </w:rPr>
      </w:pPr>
    </w:p>
    <w:p w:rsidR="00E757B1" w:rsidRDefault="00E757B1" w:rsidP="00E757B1">
      <w:pPr>
        <w:ind w:left="540"/>
        <w:jc w:val="both"/>
        <w:rPr>
          <w:i/>
          <w:color w:val="215A99"/>
          <w:sz w:val="18"/>
          <w:lang w:val="en-GB"/>
        </w:rPr>
      </w:pPr>
      <w:r>
        <w:rPr>
          <w:b/>
          <w:i/>
          <w:color w:val="215A99"/>
          <w:sz w:val="18"/>
          <w:lang w:val="en-GB"/>
        </w:rPr>
        <w:t xml:space="preserve">Will shipping companies with </w:t>
      </w:r>
      <w:r w:rsidR="00F926CA">
        <w:rPr>
          <w:b/>
          <w:i/>
          <w:color w:val="215A99"/>
          <w:sz w:val="18"/>
          <w:lang w:val="en-GB"/>
        </w:rPr>
        <w:t>new-build</w:t>
      </w:r>
      <w:r>
        <w:rPr>
          <w:b/>
          <w:i/>
          <w:color w:val="215A99"/>
          <w:sz w:val="18"/>
          <w:lang w:val="en-GB"/>
        </w:rPr>
        <w:t xml:space="preserve"> vessels scheduled to come online in 2013 and 2014 delay delivery of their vessels?</w:t>
      </w:r>
      <w:r>
        <w:rPr>
          <w:b/>
          <w:i/>
          <w:lang w:val="en-GB"/>
        </w:rPr>
        <w:t xml:space="preserve"> </w:t>
      </w:r>
      <w:r>
        <w:rPr>
          <w:i/>
          <w:lang w:val="en-GB"/>
        </w:rPr>
        <w:t xml:space="preserve"> </w:t>
      </w:r>
      <w:r>
        <w:rPr>
          <w:i/>
          <w:color w:val="215A99"/>
          <w:sz w:val="18"/>
          <w:lang w:val="en-GB"/>
        </w:rPr>
        <w:t xml:space="preserve">Faced with the prospects of a poor shipping market, vessel owners may make arrangements to delay receiving their new vessels in order to defer financial impact. </w:t>
      </w:r>
    </w:p>
    <w:p w:rsidR="00E757B1" w:rsidRDefault="00E757B1" w:rsidP="00E757B1">
      <w:pPr>
        <w:pStyle w:val="Paragraphedeliste"/>
        <w:rPr>
          <w:i/>
          <w:color w:val="215A99"/>
          <w:sz w:val="18"/>
          <w:szCs w:val="22"/>
          <w:lang w:val="en-GB"/>
        </w:rPr>
      </w:pPr>
    </w:p>
    <w:p w:rsidR="00E757B1" w:rsidRDefault="00E757B1" w:rsidP="00E757B1">
      <w:pPr>
        <w:ind w:left="540"/>
        <w:jc w:val="both"/>
        <w:rPr>
          <w:i/>
          <w:sz w:val="22"/>
          <w:szCs w:val="22"/>
          <w:lang w:val="en-GB"/>
        </w:rPr>
      </w:pPr>
      <w:r>
        <w:rPr>
          <w:b/>
          <w:i/>
          <w:color w:val="215A99"/>
          <w:sz w:val="18"/>
          <w:lang w:val="en-GB"/>
        </w:rPr>
        <w:t>How will the greater weakness in short-term charter rates impact decisions to retire older vessels?</w:t>
      </w:r>
      <w:r>
        <w:rPr>
          <w:i/>
          <w:lang w:val="en-GB"/>
        </w:rPr>
        <w:t xml:space="preserve"> </w:t>
      </w:r>
      <w:r>
        <w:rPr>
          <w:i/>
          <w:color w:val="215A99"/>
          <w:sz w:val="18"/>
          <w:lang w:val="en-GB"/>
        </w:rPr>
        <w:t xml:space="preserve">The generation of </w:t>
      </w:r>
      <w:r w:rsidR="00F926CA">
        <w:rPr>
          <w:i/>
          <w:color w:val="215A99"/>
          <w:sz w:val="18"/>
          <w:lang w:val="en-GB"/>
        </w:rPr>
        <w:t>new-build</w:t>
      </w:r>
      <w:r>
        <w:rPr>
          <w:i/>
          <w:color w:val="215A99"/>
          <w:sz w:val="18"/>
          <w:lang w:val="en-GB"/>
        </w:rPr>
        <w:t xml:space="preserve"> vessels currently under-construction will offer vastly superior operating economics compared to vessels above the age of 25. Given that the strength in the spot charter market has delayed the retirement of many vessels, short-term charter market at rates below $40,000 for older, less efficient vessel types will likely accelerate these decisions. </w:t>
      </w:r>
    </w:p>
    <w:p w:rsidR="00E757B1" w:rsidRDefault="00E757B1" w:rsidP="00E757B1">
      <w:pPr>
        <w:pStyle w:val="Paragraphedeliste"/>
        <w:rPr>
          <w:i/>
          <w:sz w:val="22"/>
          <w:szCs w:val="22"/>
          <w:lang w:val="en-GB"/>
        </w:rPr>
      </w:pPr>
    </w:p>
    <w:p w:rsidR="00E757B1" w:rsidRDefault="00E757B1" w:rsidP="00E757B1">
      <w:pPr>
        <w:ind w:left="540"/>
        <w:rPr>
          <w:i/>
          <w:color w:val="215A99"/>
          <w:sz w:val="18"/>
          <w:lang w:val="en-GB"/>
        </w:rPr>
      </w:pPr>
      <w:r>
        <w:rPr>
          <w:b/>
          <w:i/>
          <w:color w:val="215A99"/>
          <w:sz w:val="18"/>
          <w:lang w:val="en-GB"/>
        </w:rPr>
        <w:t xml:space="preserve">Does the favourable shipyard cost trend for </w:t>
      </w:r>
      <w:r w:rsidR="00F926CA">
        <w:rPr>
          <w:b/>
          <w:i/>
          <w:color w:val="215A99"/>
          <w:sz w:val="18"/>
          <w:lang w:val="en-GB"/>
        </w:rPr>
        <w:t>new-build</w:t>
      </w:r>
      <w:r>
        <w:rPr>
          <w:b/>
          <w:i/>
          <w:color w:val="215A99"/>
          <w:sz w:val="18"/>
          <w:lang w:val="en-GB"/>
        </w:rPr>
        <w:t xml:space="preserve"> LNG vessels continue?</w:t>
      </w:r>
      <w:r>
        <w:rPr>
          <w:b/>
          <w:i/>
          <w:lang w:val="en-GB"/>
        </w:rPr>
        <w:t xml:space="preserve">  </w:t>
      </w:r>
      <w:r>
        <w:rPr>
          <w:i/>
          <w:color w:val="215A99"/>
          <w:sz w:val="18"/>
          <w:lang w:val="en-GB"/>
        </w:rPr>
        <w:t xml:space="preserve">The current boom in </w:t>
      </w:r>
      <w:r w:rsidR="00F926CA">
        <w:rPr>
          <w:i/>
          <w:color w:val="215A99"/>
          <w:sz w:val="18"/>
          <w:lang w:val="en-GB"/>
        </w:rPr>
        <w:t>new-build</w:t>
      </w:r>
      <w:r>
        <w:rPr>
          <w:i/>
          <w:color w:val="215A99"/>
          <w:sz w:val="18"/>
          <w:lang w:val="en-GB"/>
        </w:rPr>
        <w:t xml:space="preserve"> vessels orders has benefitted from cyclical downturns in other shipping markets.  However, if these markets rebound and shipyards receive more vessel orders for other types, shipyards could withdraw the attractive order terms that they offered for LNG </w:t>
      </w:r>
      <w:r w:rsidR="00F926CA">
        <w:rPr>
          <w:i/>
          <w:color w:val="215A99"/>
          <w:sz w:val="18"/>
          <w:lang w:val="en-GB"/>
        </w:rPr>
        <w:t>new-build</w:t>
      </w:r>
      <w:r>
        <w:rPr>
          <w:i/>
          <w:color w:val="215A99"/>
          <w:sz w:val="18"/>
          <w:lang w:val="en-GB"/>
        </w:rPr>
        <w:t>s in 2012.</w:t>
      </w:r>
    </w:p>
    <w:p w:rsidR="007836D7" w:rsidRDefault="007836D7"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3843DC" w:rsidP="00E757B1">
      <w:pPr>
        <w:ind w:left="540"/>
        <w:rPr>
          <w:i/>
          <w:color w:val="215A99"/>
          <w:sz w:val="18"/>
          <w:szCs w:val="22"/>
          <w:lang w:val="en-GB"/>
        </w:rPr>
      </w:pPr>
    </w:p>
    <w:p w:rsidR="003843DC" w:rsidRDefault="00073EEA">
      <w:pPr>
        <w:widowControl/>
        <w:rPr>
          <w:i/>
          <w:color w:val="215A99"/>
          <w:sz w:val="18"/>
          <w:szCs w:val="22"/>
          <w:lang w:val="en-GB"/>
        </w:rPr>
      </w:pPr>
      <w:r w:rsidRPr="00073EEA">
        <w:rPr>
          <w:i/>
          <w:noProof/>
          <w:color w:val="215A99"/>
          <w:sz w:val="18"/>
          <w:szCs w:val="22"/>
          <w:lang w:eastAsia="en-US"/>
        </w:rPr>
        <w:pict>
          <v:shape id="_x0000_s1098" type="#_x0000_t202" style="position:absolute;margin-left:3.55pt;margin-top:317.85pt;width:103.95pt;height:14.7pt;z-index:251684864;mso-width-relative:margin;mso-height-relative:margin" filled="f" stroked="f" strokecolor="silver">
            <v:textbox>
              <w:txbxContent>
                <w:p w:rsidR="00856114" w:rsidRPr="003843DC" w:rsidRDefault="00856114" w:rsidP="003843DC">
                  <w:pPr>
                    <w:rPr>
                      <w:sz w:val="12"/>
                      <w:szCs w:val="12"/>
                    </w:rPr>
                  </w:pPr>
                  <w:r w:rsidRPr="003843DC">
                    <w:rPr>
                      <w:sz w:val="12"/>
                      <w:szCs w:val="12"/>
                    </w:rPr>
                    <w:t xml:space="preserve">© </w:t>
                  </w:r>
                  <w:proofErr w:type="spellStart"/>
                  <w:r>
                    <w:rPr>
                      <w:sz w:val="12"/>
                      <w:szCs w:val="12"/>
                    </w:rPr>
                    <w:t>Coche</w:t>
                  </w:r>
                  <w:proofErr w:type="spellEnd"/>
                  <w:r>
                    <w:rPr>
                      <w:sz w:val="12"/>
                      <w:szCs w:val="12"/>
                    </w:rPr>
                    <w:t xml:space="preserve"> Edmond / TOTAL</w:t>
                  </w:r>
                </w:p>
              </w:txbxContent>
            </v:textbox>
          </v:shape>
        </w:pict>
      </w:r>
      <w:r w:rsidR="008E1041" w:rsidRPr="00073EEA">
        <w:rPr>
          <w:i/>
          <w:color w:val="215A99"/>
          <w:sz w:val="18"/>
          <w:szCs w:val="22"/>
          <w:lang w:val="en-GB"/>
        </w:rPr>
        <w:pict>
          <v:shape id="_x0000_i1026" type="#_x0000_t75" style="width:507.8pt;height:337.25pt">
            <v:imagedata r:id="rId68" o:title="G56453 (4)"/>
          </v:shape>
        </w:pict>
      </w:r>
    </w:p>
    <w:p w:rsidR="007836D7" w:rsidRPr="003843DC" w:rsidRDefault="003843DC" w:rsidP="003843DC">
      <w:pPr>
        <w:widowControl/>
        <w:jc w:val="both"/>
        <w:rPr>
          <w:sz w:val="18"/>
          <w:szCs w:val="22"/>
          <w:lang w:val="en-GB"/>
        </w:rPr>
      </w:pPr>
      <w:r w:rsidRPr="003843DC">
        <w:rPr>
          <w:sz w:val="18"/>
          <w:szCs w:val="22"/>
          <w:lang w:val="en-GB"/>
        </w:rPr>
        <w:t>Shipping Expedition for the Yamal LNG Project, Russia</w:t>
      </w:r>
      <w:r w:rsidR="007836D7" w:rsidRPr="003843DC">
        <w:rPr>
          <w:sz w:val="18"/>
          <w:szCs w:val="22"/>
          <w:lang w:val="en-GB"/>
        </w:rPr>
        <w:br w:type="page"/>
      </w:r>
    </w:p>
    <w:p w:rsidR="007836D7" w:rsidRDefault="007836D7" w:rsidP="007836D7">
      <w:pPr>
        <w:spacing w:line="252" w:lineRule="auto"/>
        <w:ind w:left="180"/>
        <w:jc w:val="both"/>
        <w:rPr>
          <w:b/>
          <w:color w:val="215A99"/>
          <w:sz w:val="18"/>
          <w:lang w:val="en-GB"/>
        </w:rPr>
        <w:sectPr w:rsidR="007836D7" w:rsidSect="00733532">
          <w:headerReference w:type="default" r:id="rId69"/>
          <w:headerReference w:type="first" r:id="rId70"/>
          <w:type w:val="continuous"/>
          <w:pgSz w:w="12240" w:h="15840" w:code="1"/>
          <w:pgMar w:top="1728" w:right="1080" w:bottom="1080" w:left="1008" w:header="720" w:footer="504" w:gutter="0"/>
          <w:cols w:space="720"/>
          <w:docGrid w:linePitch="272"/>
        </w:sectPr>
      </w:pPr>
    </w:p>
    <w:p w:rsidR="00733532" w:rsidRPr="00627EEA" w:rsidRDefault="00645870" w:rsidP="00627EEA">
      <w:pPr>
        <w:pStyle w:val="Titre1"/>
      </w:pPr>
      <w:bookmarkStart w:id="39" w:name="_Toc360628260"/>
      <w:r>
        <w:lastRenderedPageBreak/>
        <w:t>7</w:t>
      </w:r>
      <w:r w:rsidR="00733532" w:rsidRPr="00627EEA">
        <w:t xml:space="preserve">.  </w:t>
      </w:r>
      <w:r w:rsidR="0053358C">
        <w:t xml:space="preserve">Special Report on </w:t>
      </w:r>
      <w:r w:rsidR="00733532" w:rsidRPr="00627EEA">
        <w:t>North American LNG</w:t>
      </w:r>
      <w:r w:rsidR="00627EEA">
        <w:t xml:space="preserve"> Prospects and Challenges</w:t>
      </w:r>
      <w:bookmarkEnd w:id="39"/>
    </w:p>
    <w:p w:rsidR="00733532" w:rsidRDefault="00733532" w:rsidP="00733532">
      <w:pPr>
        <w:spacing w:line="252" w:lineRule="auto"/>
        <w:ind w:left="180"/>
        <w:jc w:val="both"/>
        <w:rPr>
          <w:color w:val="141313" w:themeColor="text1"/>
          <w:sz w:val="18"/>
          <w:szCs w:val="22"/>
          <w:lang w:val="en-GB"/>
        </w:rPr>
        <w:sectPr w:rsidR="00733532" w:rsidSect="00733532">
          <w:type w:val="continuous"/>
          <w:pgSz w:w="12240" w:h="15840" w:code="1"/>
          <w:pgMar w:top="1728" w:right="1080" w:bottom="1080" w:left="1008" w:header="720" w:footer="504" w:gutter="0"/>
          <w:cols w:space="720"/>
          <w:docGrid w:linePitch="272"/>
        </w:sectPr>
      </w:pPr>
    </w:p>
    <w:p w:rsidR="00733532" w:rsidRDefault="00733532" w:rsidP="00733532">
      <w:pPr>
        <w:spacing w:after="120" w:line="252" w:lineRule="auto"/>
        <w:jc w:val="both"/>
        <w:rPr>
          <w:b/>
          <w:i/>
          <w:color w:val="215A99"/>
          <w:sz w:val="18"/>
          <w:szCs w:val="22"/>
          <w:lang w:val="en-GB"/>
        </w:rPr>
      </w:pPr>
      <w:r w:rsidRPr="009F4476">
        <w:rPr>
          <w:b/>
          <w:i/>
          <w:color w:val="215A99"/>
          <w:sz w:val="18"/>
          <w:szCs w:val="22"/>
          <w:lang w:val="en-GB"/>
        </w:rPr>
        <w:lastRenderedPageBreak/>
        <w:t>The shale gas revolution in North America has transformed the region from an LNG importer to a potentially massive LNG exporter with proposals for a tremendous amount of new liquefaction capacity associated with existing or “brownfield” regasification terminals and new plants.</w:t>
      </w:r>
    </w:p>
    <w:p w:rsidR="00733532" w:rsidRPr="00F75D38" w:rsidRDefault="00733532" w:rsidP="00733532">
      <w:pPr>
        <w:spacing w:after="120" w:line="252" w:lineRule="auto"/>
        <w:jc w:val="both"/>
        <w:rPr>
          <w:i/>
          <w:color w:val="215A99"/>
          <w:sz w:val="18"/>
          <w:szCs w:val="22"/>
          <w:lang w:val="en-GB"/>
        </w:rPr>
      </w:pPr>
      <w:r w:rsidRPr="009F4476">
        <w:rPr>
          <w:i/>
          <w:color w:val="215A99"/>
          <w:sz w:val="18"/>
          <w:szCs w:val="22"/>
          <w:lang w:val="en-GB"/>
        </w:rPr>
        <w:t xml:space="preserve">A significant rise in unconventional gas production in the United States has seen liquefaction proposals in North America on the order of ~190 </w:t>
      </w:r>
      <w:r>
        <w:rPr>
          <w:i/>
          <w:color w:val="215A99"/>
          <w:sz w:val="18"/>
          <w:szCs w:val="22"/>
          <w:lang w:val="en-GB"/>
        </w:rPr>
        <w:t>MTPA</w:t>
      </w:r>
      <w:r w:rsidRPr="009F4476">
        <w:rPr>
          <w:i/>
          <w:color w:val="215A99"/>
          <w:sz w:val="18"/>
          <w:szCs w:val="22"/>
          <w:lang w:val="en-GB"/>
        </w:rPr>
        <w:t>. This is a potential</w:t>
      </w:r>
      <w:r>
        <w:rPr>
          <w:i/>
          <w:color w:val="215A99"/>
          <w:sz w:val="18"/>
          <w:szCs w:val="22"/>
          <w:lang w:val="en-GB"/>
        </w:rPr>
        <w:t>ly major</w:t>
      </w:r>
      <w:r w:rsidRPr="009F4476">
        <w:rPr>
          <w:i/>
          <w:color w:val="215A99"/>
          <w:sz w:val="18"/>
          <w:szCs w:val="22"/>
          <w:lang w:val="en-GB"/>
        </w:rPr>
        <w:t xml:space="preserve"> change in the role of North America in world LNG activity since the 2005 evaluation of US supply by the National Petro</w:t>
      </w:r>
      <w:r>
        <w:rPr>
          <w:i/>
          <w:color w:val="215A99"/>
          <w:sz w:val="18"/>
          <w:szCs w:val="22"/>
          <w:lang w:val="en-GB"/>
        </w:rPr>
        <w:t xml:space="preserve">leum Council and statements by former US </w:t>
      </w:r>
      <w:r w:rsidRPr="009F4476">
        <w:rPr>
          <w:i/>
          <w:color w:val="215A99"/>
          <w:sz w:val="18"/>
          <w:szCs w:val="22"/>
          <w:lang w:val="en-GB"/>
        </w:rPr>
        <w:t>Federal Reserve Board Chairman Greenspan.  However, in putting shale gas resources into play as supplies for LNG export, North American projects face a variety of political and commercial risks</w:t>
      </w:r>
      <w:r>
        <w:rPr>
          <w:i/>
          <w:color w:val="215A99"/>
          <w:sz w:val="18"/>
          <w:szCs w:val="22"/>
          <w:lang w:val="en-GB"/>
        </w:rPr>
        <w:t xml:space="preserve">, </w:t>
      </w:r>
      <w:r w:rsidRPr="00F75D38">
        <w:rPr>
          <w:i/>
          <w:color w:val="215A99"/>
          <w:sz w:val="18"/>
          <w:szCs w:val="22"/>
          <w:lang w:val="en-GB"/>
        </w:rPr>
        <w:t>which may have implications for unconventional gas and related LNG developments elsewhere.</w:t>
      </w:r>
    </w:p>
    <w:p w:rsidR="00733532" w:rsidRPr="00564DBB" w:rsidRDefault="00733532" w:rsidP="00733532">
      <w:pPr>
        <w:spacing w:after="120" w:line="252" w:lineRule="auto"/>
        <w:jc w:val="both"/>
        <w:rPr>
          <w:i/>
          <w:color w:val="215A99"/>
          <w:sz w:val="18"/>
          <w:szCs w:val="22"/>
          <w:lang w:val="en-GB"/>
        </w:rPr>
        <w:sectPr w:rsidR="00733532" w:rsidRPr="00564DBB" w:rsidSect="007836D7">
          <w:type w:val="continuous"/>
          <w:pgSz w:w="12240" w:h="15840" w:code="1"/>
          <w:pgMar w:top="1728" w:right="1080" w:bottom="1080" w:left="1008" w:header="720" w:footer="504" w:gutter="0"/>
          <w:cols w:space="432"/>
          <w:titlePg/>
          <w:docGrid w:linePitch="272"/>
        </w:sectPr>
      </w:pPr>
    </w:p>
    <w:p w:rsidR="00733532" w:rsidRDefault="00645870" w:rsidP="00645870">
      <w:pPr>
        <w:pStyle w:val="Titre2"/>
        <w:ind w:firstLine="180"/>
        <w:rPr>
          <w:lang w:val="en-GB"/>
        </w:rPr>
      </w:pPr>
      <w:bookmarkStart w:id="40" w:name="_Toc360628261"/>
      <w:r>
        <w:rPr>
          <w:lang w:val="en-GB"/>
        </w:rPr>
        <w:lastRenderedPageBreak/>
        <w:t>7</w:t>
      </w:r>
      <w:r w:rsidR="00733532" w:rsidRPr="00564DBB">
        <w:rPr>
          <w:lang w:val="en-GB"/>
        </w:rPr>
        <w:t>.1. OVERVIEW</w:t>
      </w:r>
      <w:bookmarkEnd w:id="40"/>
    </w:p>
    <w:p w:rsidR="00733532" w:rsidRPr="00564DBB" w:rsidRDefault="00733532" w:rsidP="00733532">
      <w:pPr>
        <w:spacing w:line="252" w:lineRule="auto"/>
        <w:ind w:left="180"/>
        <w:jc w:val="both"/>
        <w:rPr>
          <w:b/>
          <w:color w:val="215A99"/>
          <w:sz w:val="18"/>
          <w:lang w:val="en-GB"/>
        </w:rPr>
      </w:pPr>
    </w:p>
    <w:p w:rsidR="00733532" w:rsidRDefault="00733532" w:rsidP="00733532">
      <w:pPr>
        <w:spacing w:line="252" w:lineRule="auto"/>
        <w:ind w:left="180"/>
        <w:jc w:val="both"/>
        <w:rPr>
          <w:noProof/>
          <w:sz w:val="18"/>
          <w:lang w:eastAsia="en-US"/>
        </w:rPr>
      </w:pPr>
      <w:r w:rsidRPr="009F4476">
        <w:rPr>
          <w:noProof/>
          <w:sz w:val="18"/>
          <w:lang w:eastAsia="en-US"/>
        </w:rPr>
        <w:t>As recently as five years ago, North America was preparing to vastly increase LNG imports as the United States and Canada faced declining conventional production. However, the adoption of new drilling techniques and a hospitable regulatory environment paved the way for a massive increase in shale gas production in the continental US. Total gas production, which dipped to less than 52 bcf/d in 2005, increased to over 69 bcf/d in 2012. This growth can be almost entirely attributed to unconventional gas. As a result, North American prices have dropped as market supply surged, with Henry Hub plummeting to $1.94/MMBtu in April 2012. Growth is only expected to continue; the Marcellus shale alone, which contributed only 3.7 bcf/d in 2011 (though that was up from 73 mmcf/d in 2008), is expected to be producing 25 bcf/d by 2020.</w:t>
      </w:r>
    </w:p>
    <w:tbl>
      <w:tblPr>
        <w:tblpPr w:leftFromText="180" w:rightFromText="180" w:vertAnchor="text" w:horzAnchor="margin" w:tblpY="92"/>
        <w:tblW w:w="4975" w:type="dxa"/>
        <w:tblLayout w:type="fixed"/>
        <w:tblLook w:val="01E0"/>
      </w:tblPr>
      <w:tblGrid>
        <w:gridCol w:w="4975"/>
      </w:tblGrid>
      <w:tr w:rsidR="00733532" w:rsidRPr="00A918C1" w:rsidTr="007836D7">
        <w:trPr>
          <w:trHeight w:val="2938"/>
        </w:trPr>
        <w:tc>
          <w:tcPr>
            <w:tcW w:w="4975" w:type="dxa"/>
          </w:tcPr>
          <w:p w:rsidR="00733532" w:rsidRDefault="00733532" w:rsidP="007836D7">
            <w:pPr>
              <w:pStyle w:val="PFCBulletedText2"/>
              <w:spacing w:before="120" w:after="0"/>
              <w:ind w:left="0" w:firstLine="0"/>
              <w:jc w:val="left"/>
              <w:rPr>
                <w:noProof/>
                <w:lang w:eastAsia="en-US"/>
              </w:rPr>
            </w:pPr>
            <w:r>
              <w:rPr>
                <w:noProof/>
                <w:lang w:val="fr-FR" w:eastAsia="zh-CN"/>
              </w:rPr>
              <w:drawing>
                <wp:inline distT="0" distB="0" distL="0" distR="0">
                  <wp:extent cx="3019425" cy="2038350"/>
                  <wp:effectExtent l="19050" t="0" r="9525" b="0"/>
                  <wp:docPr id="1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3019425" cy="2038350"/>
                          </a:xfrm>
                          <a:prstGeom prst="rect">
                            <a:avLst/>
                          </a:prstGeom>
                          <a:noFill/>
                          <a:ln w="9525">
                            <a:noFill/>
                            <a:miter lim="800000"/>
                            <a:headEnd/>
                            <a:tailEnd/>
                          </a:ln>
                        </pic:spPr>
                      </pic:pic>
                    </a:graphicData>
                  </a:graphic>
                </wp:inline>
              </w:drawing>
            </w:r>
          </w:p>
          <w:p w:rsidR="00733532" w:rsidRDefault="00733532" w:rsidP="007836D7">
            <w:pPr>
              <w:pStyle w:val="PFCBulletedText2"/>
              <w:ind w:left="0" w:firstLine="0"/>
              <w:jc w:val="left"/>
              <w:rPr>
                <w:b/>
                <w:sz w:val="18"/>
                <w:szCs w:val="18"/>
              </w:rPr>
            </w:pPr>
            <w:r>
              <w:rPr>
                <w:b/>
                <w:sz w:val="18"/>
                <w:szCs w:val="18"/>
              </w:rPr>
              <w:t xml:space="preserve">Figure </w:t>
            </w:r>
            <w:r w:rsidR="00E35536">
              <w:rPr>
                <w:b/>
                <w:sz w:val="18"/>
                <w:szCs w:val="18"/>
              </w:rPr>
              <w:t>7</w:t>
            </w:r>
            <w:r w:rsidR="004C2905">
              <w:rPr>
                <w:b/>
                <w:sz w:val="18"/>
                <w:szCs w:val="18"/>
              </w:rPr>
              <w:t>.</w:t>
            </w:r>
            <w:r>
              <w:rPr>
                <w:b/>
                <w:sz w:val="18"/>
                <w:szCs w:val="18"/>
              </w:rPr>
              <w:t>1</w:t>
            </w:r>
            <w:r w:rsidRPr="005733C3">
              <w:rPr>
                <w:b/>
                <w:sz w:val="18"/>
                <w:szCs w:val="18"/>
              </w:rPr>
              <w:t xml:space="preserve">:  </w:t>
            </w:r>
            <w:r w:rsidRPr="007C35B1">
              <w:rPr>
                <w:rFonts w:eastAsia="SimSun"/>
                <w:b/>
                <w:smallCaps/>
                <w:lang w:val="en-GB"/>
              </w:rPr>
              <w:t xml:space="preserve"> </w:t>
            </w:r>
            <w:r w:rsidRPr="007C35B1">
              <w:rPr>
                <w:b/>
                <w:color w:val="141313" w:themeColor="text1"/>
                <w:sz w:val="18"/>
                <w:szCs w:val="18"/>
                <w:lang w:val="en-GB"/>
              </w:rPr>
              <w:t>Gas Production from Selected Unconventional Plays in the United States</w:t>
            </w:r>
          </w:p>
          <w:p w:rsidR="00733532" w:rsidRPr="002055A2" w:rsidRDefault="00733532" w:rsidP="007836D7">
            <w:pPr>
              <w:pStyle w:val="PFCBulletedText2"/>
              <w:ind w:left="0" w:firstLine="0"/>
              <w:jc w:val="left"/>
              <w:rPr>
                <w:b/>
                <w:sz w:val="18"/>
                <w:szCs w:val="18"/>
              </w:rPr>
            </w:pPr>
            <w:r>
              <w:rPr>
                <w:i/>
                <w:sz w:val="16"/>
                <w:szCs w:val="16"/>
              </w:rPr>
              <w:t>S</w:t>
            </w:r>
            <w:r w:rsidRPr="005733C3">
              <w:rPr>
                <w:i/>
                <w:sz w:val="16"/>
                <w:szCs w:val="16"/>
              </w:rPr>
              <w:t xml:space="preserve">ources: PFC Energy </w:t>
            </w:r>
            <w:r>
              <w:rPr>
                <w:i/>
                <w:sz w:val="16"/>
                <w:szCs w:val="16"/>
              </w:rPr>
              <w:t xml:space="preserve">North America Onshore </w:t>
            </w:r>
            <w:r w:rsidRPr="005733C3">
              <w:rPr>
                <w:i/>
                <w:sz w:val="16"/>
                <w:szCs w:val="16"/>
              </w:rPr>
              <w:t>Service</w:t>
            </w:r>
          </w:p>
        </w:tc>
      </w:tr>
    </w:tbl>
    <w:p w:rsidR="00733532" w:rsidRDefault="00733532" w:rsidP="00733532">
      <w:pPr>
        <w:spacing w:line="252" w:lineRule="auto"/>
        <w:ind w:left="180"/>
        <w:jc w:val="both"/>
        <w:rPr>
          <w:b/>
          <w:color w:val="215A99"/>
          <w:sz w:val="18"/>
          <w:lang w:val="en-GB"/>
        </w:rPr>
      </w:pPr>
    </w:p>
    <w:tbl>
      <w:tblPr>
        <w:tblpPr w:leftFromText="180" w:rightFromText="180" w:vertAnchor="text" w:horzAnchor="margin" w:tblpXSpec="right" w:tblpY="136"/>
        <w:tblW w:w="4975" w:type="dxa"/>
        <w:tblLayout w:type="fixed"/>
        <w:tblLook w:val="01E0"/>
      </w:tblPr>
      <w:tblGrid>
        <w:gridCol w:w="4975"/>
      </w:tblGrid>
      <w:tr w:rsidR="00733532" w:rsidRPr="00A918C1" w:rsidTr="007836D7">
        <w:trPr>
          <w:trHeight w:val="2938"/>
        </w:trPr>
        <w:tc>
          <w:tcPr>
            <w:tcW w:w="4975" w:type="dxa"/>
          </w:tcPr>
          <w:p w:rsidR="00733532" w:rsidRDefault="00E35536" w:rsidP="007836D7">
            <w:pPr>
              <w:pStyle w:val="PFCBulletedText2"/>
              <w:spacing w:before="120" w:after="0"/>
              <w:ind w:left="0" w:firstLine="0"/>
              <w:jc w:val="left"/>
              <w:rPr>
                <w:noProof/>
                <w:lang w:eastAsia="en-US"/>
              </w:rPr>
            </w:pPr>
            <w:r>
              <w:rPr>
                <w:noProof/>
                <w:lang w:val="fr-FR" w:eastAsia="zh-CN"/>
              </w:rPr>
              <w:drawing>
                <wp:inline distT="0" distB="0" distL="0" distR="0">
                  <wp:extent cx="3019425" cy="2009775"/>
                  <wp:effectExtent l="19050" t="0" r="9525" b="0"/>
                  <wp:docPr id="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srcRect/>
                          <a:stretch>
                            <a:fillRect/>
                          </a:stretch>
                        </pic:blipFill>
                        <pic:spPr bwMode="auto">
                          <a:xfrm>
                            <a:off x="0" y="0"/>
                            <a:ext cx="3019425" cy="2009775"/>
                          </a:xfrm>
                          <a:prstGeom prst="rect">
                            <a:avLst/>
                          </a:prstGeom>
                          <a:noFill/>
                          <a:ln w="9525">
                            <a:noFill/>
                            <a:miter lim="800000"/>
                            <a:headEnd/>
                            <a:tailEnd/>
                          </a:ln>
                        </pic:spPr>
                      </pic:pic>
                    </a:graphicData>
                  </a:graphic>
                </wp:inline>
              </w:drawing>
            </w:r>
          </w:p>
          <w:p w:rsidR="00733532" w:rsidRDefault="00733532" w:rsidP="007836D7">
            <w:pPr>
              <w:pStyle w:val="PFCBulletedText2"/>
              <w:ind w:left="0" w:firstLine="0"/>
              <w:jc w:val="left"/>
              <w:rPr>
                <w:b/>
                <w:sz w:val="18"/>
                <w:szCs w:val="18"/>
              </w:rPr>
            </w:pPr>
            <w:r>
              <w:rPr>
                <w:b/>
                <w:sz w:val="18"/>
                <w:szCs w:val="18"/>
              </w:rPr>
              <w:t xml:space="preserve">Figure </w:t>
            </w:r>
            <w:r w:rsidR="00E35536">
              <w:rPr>
                <w:b/>
                <w:sz w:val="18"/>
                <w:szCs w:val="18"/>
              </w:rPr>
              <w:t>7</w:t>
            </w:r>
            <w:r w:rsidR="004C2905">
              <w:rPr>
                <w:b/>
                <w:sz w:val="18"/>
                <w:szCs w:val="18"/>
              </w:rPr>
              <w:t>.</w:t>
            </w:r>
            <w:r>
              <w:rPr>
                <w:b/>
                <w:sz w:val="18"/>
                <w:szCs w:val="18"/>
              </w:rPr>
              <w:t>2</w:t>
            </w:r>
            <w:r w:rsidRPr="005733C3">
              <w:rPr>
                <w:b/>
                <w:sz w:val="18"/>
                <w:szCs w:val="18"/>
              </w:rPr>
              <w:t xml:space="preserve">:  </w:t>
            </w:r>
            <w:r w:rsidRPr="007C35B1">
              <w:rPr>
                <w:rFonts w:eastAsia="SimSun"/>
                <w:b/>
                <w:smallCaps/>
                <w:lang w:val="en-GB"/>
              </w:rPr>
              <w:t xml:space="preserve"> </w:t>
            </w:r>
            <w:r>
              <w:rPr>
                <w:b/>
                <w:color w:val="141313" w:themeColor="text1"/>
                <w:sz w:val="18"/>
                <w:szCs w:val="18"/>
                <w:lang w:val="en-GB"/>
              </w:rPr>
              <w:t>Location of Proposed North American Liquefaction Projects, excluding Gulf of Mexico</w:t>
            </w:r>
          </w:p>
          <w:p w:rsidR="00733532" w:rsidRPr="002055A2" w:rsidRDefault="00733532" w:rsidP="007836D7">
            <w:pPr>
              <w:pStyle w:val="PFCBulletedText2"/>
              <w:ind w:left="0" w:firstLine="0"/>
              <w:jc w:val="left"/>
              <w:rPr>
                <w:b/>
                <w:sz w:val="18"/>
                <w:szCs w:val="18"/>
              </w:rPr>
            </w:pPr>
            <w:r>
              <w:rPr>
                <w:i/>
                <w:sz w:val="16"/>
                <w:szCs w:val="16"/>
              </w:rPr>
              <w:t>S</w:t>
            </w:r>
            <w:r w:rsidRPr="005733C3">
              <w:rPr>
                <w:i/>
                <w:sz w:val="16"/>
                <w:szCs w:val="16"/>
              </w:rPr>
              <w:t xml:space="preserve">ources: PFC Energy </w:t>
            </w:r>
            <w:r>
              <w:rPr>
                <w:i/>
                <w:sz w:val="16"/>
                <w:szCs w:val="16"/>
              </w:rPr>
              <w:t>Global LNG Service</w:t>
            </w:r>
          </w:p>
        </w:tc>
      </w:tr>
    </w:tbl>
    <w:p w:rsidR="00733532" w:rsidRPr="00F75D38" w:rsidRDefault="00733532" w:rsidP="00733532">
      <w:pPr>
        <w:spacing w:line="252" w:lineRule="auto"/>
        <w:ind w:left="180"/>
        <w:jc w:val="both"/>
        <w:rPr>
          <w:sz w:val="18"/>
          <w:lang w:val="en-GB"/>
        </w:rPr>
      </w:pPr>
      <w:r w:rsidRPr="00F75D38">
        <w:rPr>
          <w:sz w:val="18"/>
          <w:lang w:val="en-GB"/>
        </w:rPr>
        <w:t xml:space="preserve">Meanwhile, LNG demand continues to grow globally, with a number of new countries poised to enter the LNG market, particularly in nearby Latin America. Global LNG prices have climbed in response to rapidly rising demand and higher oil prices. This is especially true in Japan, where the shutdown of nuclear facilities after the March 2011 Fukushima disaster has increased demand for LNG, pushing prices up to ~$15-18/MMBtu. The price differential </w:t>
      </w:r>
    </w:p>
    <w:p w:rsidR="00733532" w:rsidRDefault="00733532" w:rsidP="00733532">
      <w:pPr>
        <w:spacing w:line="252" w:lineRule="auto"/>
        <w:ind w:left="180"/>
        <w:jc w:val="both"/>
        <w:rPr>
          <w:color w:val="141313" w:themeColor="text1"/>
          <w:sz w:val="18"/>
          <w:lang w:val="en-GB"/>
        </w:rPr>
      </w:pPr>
      <w:r w:rsidRPr="007C35B1">
        <w:rPr>
          <w:color w:val="141313" w:themeColor="text1"/>
          <w:sz w:val="18"/>
          <w:lang w:val="en-GB"/>
        </w:rPr>
        <w:t>between oil-linked LNG and Henry Hub is a major factor leading future demand for North American gas as LNG and, thus, for the proposal of so many projects.  Major LNG buyers also view North America as a way to diversify their sources of LNG and potential producer risk.</w:t>
      </w:r>
    </w:p>
    <w:tbl>
      <w:tblPr>
        <w:tblpPr w:leftFromText="180" w:rightFromText="180" w:vertAnchor="text" w:horzAnchor="margin" w:tblpXSpec="right" w:tblpY="102"/>
        <w:tblW w:w="4957" w:type="dxa"/>
        <w:tblLayout w:type="fixed"/>
        <w:tblLook w:val="01E0"/>
      </w:tblPr>
      <w:tblGrid>
        <w:gridCol w:w="4957"/>
      </w:tblGrid>
      <w:tr w:rsidR="004A2A0E" w:rsidRPr="00A918C1" w:rsidTr="004A2A0E">
        <w:trPr>
          <w:trHeight w:val="2938"/>
        </w:trPr>
        <w:tc>
          <w:tcPr>
            <w:tcW w:w="4957" w:type="dxa"/>
          </w:tcPr>
          <w:p w:rsidR="004A2A0E" w:rsidRDefault="004A2A0E" w:rsidP="004A2A0E">
            <w:pPr>
              <w:pStyle w:val="PFCBulletedText2"/>
              <w:spacing w:before="120" w:after="0"/>
              <w:ind w:left="0" w:firstLine="0"/>
              <w:jc w:val="left"/>
              <w:rPr>
                <w:noProof/>
                <w:lang w:eastAsia="en-US"/>
              </w:rPr>
            </w:pPr>
            <w:r>
              <w:rPr>
                <w:noProof/>
                <w:lang w:val="fr-FR" w:eastAsia="zh-CN"/>
              </w:rPr>
              <w:drawing>
                <wp:inline distT="0" distB="0" distL="0" distR="0">
                  <wp:extent cx="3005455" cy="1964055"/>
                  <wp:effectExtent l="0" t="0" r="4445" b="0"/>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srcRect/>
                          <a:stretch>
                            <a:fillRect/>
                          </a:stretch>
                        </pic:blipFill>
                        <pic:spPr bwMode="auto">
                          <a:xfrm>
                            <a:off x="0" y="0"/>
                            <a:ext cx="3005455" cy="1964055"/>
                          </a:xfrm>
                          <a:prstGeom prst="rect">
                            <a:avLst/>
                          </a:prstGeom>
                          <a:noFill/>
                          <a:ln w="9525">
                            <a:noFill/>
                            <a:miter lim="800000"/>
                            <a:headEnd/>
                            <a:tailEnd/>
                          </a:ln>
                        </pic:spPr>
                      </pic:pic>
                    </a:graphicData>
                  </a:graphic>
                </wp:inline>
              </w:drawing>
            </w:r>
          </w:p>
          <w:p w:rsidR="004A2A0E" w:rsidRDefault="004A2A0E" w:rsidP="004A2A0E">
            <w:pPr>
              <w:pStyle w:val="PFCBulletedText2"/>
              <w:ind w:left="0" w:firstLine="0"/>
              <w:jc w:val="left"/>
              <w:rPr>
                <w:b/>
                <w:sz w:val="18"/>
                <w:szCs w:val="18"/>
              </w:rPr>
            </w:pPr>
            <w:r>
              <w:rPr>
                <w:b/>
                <w:sz w:val="18"/>
                <w:szCs w:val="18"/>
              </w:rPr>
              <w:t>Figure 7.3</w:t>
            </w:r>
            <w:r w:rsidRPr="005733C3">
              <w:rPr>
                <w:b/>
                <w:sz w:val="18"/>
                <w:szCs w:val="18"/>
              </w:rPr>
              <w:t xml:space="preserve">:  </w:t>
            </w:r>
            <w:r w:rsidRPr="007C35B1">
              <w:rPr>
                <w:rFonts w:eastAsia="SimSun"/>
                <w:b/>
                <w:smallCaps/>
                <w:lang w:val="en-GB"/>
              </w:rPr>
              <w:t xml:space="preserve"> </w:t>
            </w:r>
            <w:r>
              <w:rPr>
                <w:b/>
                <w:color w:val="141313" w:themeColor="text1"/>
                <w:sz w:val="18"/>
                <w:szCs w:val="18"/>
                <w:lang w:val="en-GB"/>
              </w:rPr>
              <w:t>Location of Proposed North American Liquefaction Projects, Gulf of Mexico</w:t>
            </w:r>
          </w:p>
          <w:p w:rsidR="004A2A0E" w:rsidRPr="002055A2" w:rsidRDefault="004A2A0E" w:rsidP="004A2A0E">
            <w:pPr>
              <w:pStyle w:val="PFCBulletedText2"/>
              <w:ind w:left="0" w:firstLine="0"/>
              <w:jc w:val="left"/>
              <w:rPr>
                <w:b/>
                <w:sz w:val="18"/>
                <w:szCs w:val="18"/>
              </w:rPr>
            </w:pPr>
            <w:r>
              <w:rPr>
                <w:i/>
                <w:sz w:val="16"/>
                <w:szCs w:val="16"/>
              </w:rPr>
              <w:t>S</w:t>
            </w:r>
            <w:r w:rsidRPr="005733C3">
              <w:rPr>
                <w:i/>
                <w:sz w:val="16"/>
                <w:szCs w:val="16"/>
              </w:rPr>
              <w:t xml:space="preserve">ources: PFC Energy </w:t>
            </w:r>
            <w:r>
              <w:rPr>
                <w:i/>
                <w:sz w:val="16"/>
                <w:szCs w:val="16"/>
              </w:rPr>
              <w:t>Global LNG Service</w:t>
            </w:r>
          </w:p>
        </w:tc>
      </w:tr>
    </w:tbl>
    <w:p w:rsidR="00733532" w:rsidRPr="007C35B1" w:rsidRDefault="00733532" w:rsidP="00733532">
      <w:pPr>
        <w:spacing w:line="252" w:lineRule="auto"/>
        <w:ind w:left="180"/>
        <w:jc w:val="both"/>
        <w:rPr>
          <w:color w:val="141313" w:themeColor="text1"/>
          <w:sz w:val="18"/>
          <w:lang w:val="en-GB"/>
        </w:rPr>
      </w:pPr>
    </w:p>
    <w:tbl>
      <w:tblPr>
        <w:tblpPr w:leftFromText="180" w:rightFromText="180" w:vertAnchor="text" w:horzAnchor="margin" w:tblpY="-177"/>
        <w:tblW w:w="10394" w:type="dxa"/>
        <w:tblLayout w:type="fixed"/>
        <w:tblLook w:val="01E0"/>
      </w:tblPr>
      <w:tblGrid>
        <w:gridCol w:w="10394"/>
      </w:tblGrid>
      <w:tr w:rsidR="00733532" w:rsidRPr="00A918C1" w:rsidTr="007836D7">
        <w:trPr>
          <w:trHeight w:val="2953"/>
        </w:trPr>
        <w:tc>
          <w:tcPr>
            <w:tcW w:w="10394" w:type="dxa"/>
          </w:tcPr>
          <w:tbl>
            <w:tblPr>
              <w:tblStyle w:val="Grillemoyenne3-Accent3"/>
              <w:tblW w:w="10250" w:type="dxa"/>
              <w:tblLayout w:type="fixed"/>
              <w:tblLook w:val="0420"/>
            </w:tblPr>
            <w:tblGrid>
              <w:gridCol w:w="1345"/>
              <w:gridCol w:w="547"/>
              <w:gridCol w:w="798"/>
              <w:gridCol w:w="900"/>
              <w:gridCol w:w="1890"/>
              <w:gridCol w:w="1710"/>
              <w:gridCol w:w="3060"/>
            </w:tblGrid>
            <w:tr w:rsidR="00733532" w:rsidRPr="00706EB3" w:rsidTr="007836D7">
              <w:trPr>
                <w:cnfStyle w:val="100000000000"/>
                <w:trHeight w:val="607"/>
              </w:trPr>
              <w:tc>
                <w:tcPr>
                  <w:tcW w:w="2690" w:type="dxa"/>
                  <w:gridSpan w:val="3"/>
                  <w:vAlign w:val="center"/>
                  <w:hideMark/>
                </w:tcPr>
                <w:p w:rsidR="00733532" w:rsidRPr="00912DBB" w:rsidRDefault="00733532" w:rsidP="007836D7">
                  <w:pPr>
                    <w:framePr w:hSpace="180" w:wrap="around" w:vAnchor="text" w:hAnchor="margin" w:y="-177"/>
                    <w:widowControl/>
                    <w:jc w:val="center"/>
                    <w:rPr>
                      <w:rFonts w:eastAsia="Times New Roman" w:cs="Arial"/>
                      <w:color w:val="FFFFFF"/>
                      <w:sz w:val="16"/>
                      <w:szCs w:val="18"/>
                      <w:lang w:eastAsia="en-US"/>
                    </w:rPr>
                  </w:pPr>
                  <w:r w:rsidRPr="00912DBB">
                    <w:rPr>
                      <w:rFonts w:eastAsia="Times New Roman" w:cs="Arial"/>
                      <w:color w:val="FFFFFF"/>
                      <w:sz w:val="16"/>
                      <w:szCs w:val="18"/>
                      <w:lang w:eastAsia="en-US"/>
                    </w:rPr>
                    <w:t>Project</w:t>
                  </w:r>
                </w:p>
              </w:tc>
              <w:tc>
                <w:tcPr>
                  <w:tcW w:w="900" w:type="dxa"/>
                  <w:vAlign w:val="center"/>
                  <w:hideMark/>
                </w:tcPr>
                <w:p w:rsidR="00733532" w:rsidRPr="00912DBB" w:rsidRDefault="00733532" w:rsidP="007836D7">
                  <w:pPr>
                    <w:framePr w:hSpace="180" w:wrap="around" w:vAnchor="text" w:hAnchor="margin" w:y="-177"/>
                    <w:widowControl/>
                    <w:jc w:val="center"/>
                    <w:rPr>
                      <w:rFonts w:eastAsia="Times New Roman" w:cs="Arial"/>
                      <w:color w:val="FFFFFF"/>
                      <w:sz w:val="16"/>
                      <w:szCs w:val="18"/>
                      <w:lang w:eastAsia="en-US"/>
                    </w:rPr>
                  </w:pPr>
                  <w:r w:rsidRPr="00912DBB">
                    <w:rPr>
                      <w:rFonts w:eastAsia="Times New Roman" w:cs="Arial"/>
                      <w:color w:val="FFFFFF"/>
                      <w:sz w:val="16"/>
                      <w:szCs w:val="18"/>
                      <w:lang w:eastAsia="en-US"/>
                    </w:rPr>
                    <w:t>Capacity</w:t>
                  </w:r>
                </w:p>
              </w:tc>
              <w:tc>
                <w:tcPr>
                  <w:tcW w:w="1890" w:type="dxa"/>
                  <w:vAlign w:val="center"/>
                  <w:hideMark/>
                </w:tcPr>
                <w:p w:rsidR="00733532" w:rsidRPr="00912DBB" w:rsidRDefault="00733532" w:rsidP="007836D7">
                  <w:pPr>
                    <w:framePr w:hSpace="180" w:wrap="around" w:vAnchor="text" w:hAnchor="margin" w:y="-177"/>
                    <w:widowControl/>
                    <w:jc w:val="center"/>
                    <w:rPr>
                      <w:rFonts w:eastAsia="Times New Roman" w:cs="Arial"/>
                      <w:color w:val="FFFFFF"/>
                      <w:sz w:val="16"/>
                      <w:szCs w:val="18"/>
                      <w:lang w:eastAsia="en-US"/>
                    </w:rPr>
                  </w:pPr>
                  <w:r w:rsidRPr="00912DBB">
                    <w:rPr>
                      <w:rFonts w:eastAsia="Times New Roman" w:cs="Arial"/>
                      <w:color w:val="FFFFFF"/>
                      <w:sz w:val="16"/>
                      <w:szCs w:val="18"/>
                      <w:lang w:eastAsia="en-US"/>
                    </w:rPr>
                    <w:t>Status</w:t>
                  </w:r>
                </w:p>
              </w:tc>
              <w:tc>
                <w:tcPr>
                  <w:tcW w:w="1710" w:type="dxa"/>
                  <w:vAlign w:val="center"/>
                  <w:hideMark/>
                </w:tcPr>
                <w:p w:rsidR="00733532" w:rsidRPr="00912DBB" w:rsidRDefault="00733532" w:rsidP="007836D7">
                  <w:pPr>
                    <w:framePr w:hSpace="180" w:wrap="around" w:vAnchor="text" w:hAnchor="margin" w:y="-177"/>
                    <w:widowControl/>
                    <w:jc w:val="center"/>
                    <w:rPr>
                      <w:rFonts w:eastAsia="Times New Roman" w:cs="Arial"/>
                      <w:color w:val="FFFFFF"/>
                      <w:sz w:val="16"/>
                      <w:szCs w:val="18"/>
                      <w:lang w:eastAsia="en-US"/>
                    </w:rPr>
                  </w:pPr>
                  <w:r>
                    <w:rPr>
                      <w:rFonts w:eastAsia="Times New Roman" w:cs="Arial"/>
                      <w:color w:val="FFFFFF"/>
                      <w:sz w:val="16"/>
                      <w:szCs w:val="18"/>
                      <w:lang w:eastAsia="en-US"/>
                    </w:rPr>
                    <w:t xml:space="preserve">Latest </w:t>
                  </w:r>
                  <w:r w:rsidRPr="00912DBB">
                    <w:rPr>
                      <w:rFonts w:eastAsia="Times New Roman" w:cs="Arial"/>
                      <w:color w:val="FFFFFF"/>
                      <w:sz w:val="16"/>
                      <w:szCs w:val="18"/>
                      <w:lang w:eastAsia="en-US"/>
                    </w:rPr>
                    <w:t>Company Announced Start Date</w:t>
                  </w:r>
                  <w:r w:rsidRPr="00912DBB">
                    <w:rPr>
                      <w:rStyle w:val="Appelnotedebasdep"/>
                      <w:rFonts w:eastAsia="Times New Roman" w:cs="Arial"/>
                      <w:color w:val="FFFFFF"/>
                      <w:sz w:val="16"/>
                      <w:szCs w:val="18"/>
                      <w:lang w:eastAsia="en-US"/>
                    </w:rPr>
                    <w:footnoteReference w:id="10"/>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FFFFFF"/>
                      <w:sz w:val="16"/>
                      <w:szCs w:val="18"/>
                      <w:lang w:eastAsia="en-US"/>
                    </w:rPr>
                  </w:pPr>
                  <w:r w:rsidRPr="00912DBB">
                    <w:rPr>
                      <w:rFonts w:eastAsia="Times New Roman" w:cs="Arial"/>
                      <w:color w:val="FFFFFF"/>
                      <w:sz w:val="16"/>
                      <w:szCs w:val="18"/>
                      <w:lang w:eastAsia="en-US"/>
                    </w:rPr>
                    <w:t>Operator</w:t>
                  </w:r>
                </w:p>
              </w:tc>
            </w:tr>
            <w:tr w:rsidR="00733532" w:rsidRPr="00706EB3" w:rsidTr="007836D7">
              <w:trPr>
                <w:cnfStyle w:val="000000100000"/>
                <w:trHeight w:val="263"/>
              </w:trPr>
              <w:tc>
                <w:tcPr>
                  <w:tcW w:w="10250" w:type="dxa"/>
                  <w:gridSpan w:val="7"/>
                  <w:shd w:val="clear" w:color="auto" w:fill="215A99"/>
                  <w:vAlign w:val="center"/>
                  <w:hideMark/>
                </w:tcPr>
                <w:p w:rsidR="00733532" w:rsidRPr="0036771A" w:rsidRDefault="00733532" w:rsidP="007836D7">
                  <w:pPr>
                    <w:framePr w:hSpace="180" w:wrap="around" w:vAnchor="text" w:hAnchor="margin" w:y="-177"/>
                    <w:widowControl/>
                    <w:jc w:val="center"/>
                    <w:rPr>
                      <w:rFonts w:eastAsia="Times New Roman" w:cs="Arial"/>
                      <w:b/>
                      <w:color w:val="FFFFFF" w:themeColor="background1"/>
                      <w:sz w:val="16"/>
                      <w:szCs w:val="18"/>
                      <w:lang w:eastAsia="en-US"/>
                    </w:rPr>
                  </w:pPr>
                  <w:r w:rsidRPr="0036771A">
                    <w:rPr>
                      <w:rFonts w:eastAsia="Times New Roman" w:cs="Arial"/>
                      <w:b/>
                      <w:color w:val="FFFFFF" w:themeColor="background1"/>
                      <w:sz w:val="16"/>
                      <w:szCs w:val="18"/>
                      <w:lang w:eastAsia="en-US"/>
                    </w:rPr>
                    <w:t>United States</w:t>
                  </w:r>
                  <w:r>
                    <w:rPr>
                      <w:rFonts w:eastAsia="Times New Roman" w:cs="Arial"/>
                      <w:b/>
                      <w:color w:val="FFFFFF" w:themeColor="background1"/>
                      <w:sz w:val="16"/>
                      <w:szCs w:val="18"/>
                      <w:lang w:eastAsia="en-US"/>
                    </w:rPr>
                    <w:t xml:space="preserve"> Lower 48</w:t>
                  </w:r>
                </w:p>
              </w:tc>
            </w:tr>
            <w:tr w:rsidR="00733532" w:rsidRPr="00706EB3" w:rsidTr="007836D7">
              <w:trPr>
                <w:cnfStyle w:val="000000010000"/>
                <w:trHeight w:val="255"/>
              </w:trPr>
              <w:tc>
                <w:tcPr>
                  <w:tcW w:w="1892" w:type="dxa"/>
                  <w:gridSpan w:val="2"/>
                  <w:vMerge w:val="restart"/>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Sabine Pass LNG*</w:t>
                  </w:r>
                </w:p>
              </w:tc>
              <w:tc>
                <w:tcPr>
                  <w:tcW w:w="798" w:type="dxa"/>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T1-2</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9</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Under Construction</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2015</w:t>
                  </w:r>
                </w:p>
              </w:tc>
              <w:tc>
                <w:tcPr>
                  <w:tcW w:w="3060" w:type="dxa"/>
                  <w:vMerge w:val="restart"/>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Cheniere</w:t>
                  </w:r>
                  <w:r>
                    <w:rPr>
                      <w:rFonts w:eastAsia="Times New Roman" w:cs="Arial"/>
                      <w:color w:val="141313"/>
                      <w:sz w:val="16"/>
                      <w:szCs w:val="18"/>
                      <w:lang w:eastAsia="en-US"/>
                    </w:rPr>
                    <w:t xml:space="preserve"> Energy</w:t>
                  </w:r>
                </w:p>
              </w:tc>
            </w:tr>
            <w:tr w:rsidR="00733532" w:rsidRPr="00706EB3" w:rsidTr="007836D7">
              <w:trPr>
                <w:cnfStyle w:val="000000100000"/>
                <w:trHeight w:val="255"/>
              </w:trPr>
              <w:tc>
                <w:tcPr>
                  <w:tcW w:w="1892" w:type="dxa"/>
                  <w:gridSpan w:val="2"/>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c>
                <w:tcPr>
                  <w:tcW w:w="798" w:type="dxa"/>
                  <w:shd w:val="clear" w:color="auto" w:fill="17A8DB"/>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T3-4</w:t>
                  </w:r>
                </w:p>
              </w:tc>
              <w:tc>
                <w:tcPr>
                  <w:tcW w:w="900" w:type="dxa"/>
                  <w:shd w:val="clear" w:color="auto" w:fill="17A8DB"/>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9</w:t>
                  </w:r>
                </w:p>
              </w:tc>
              <w:tc>
                <w:tcPr>
                  <w:tcW w:w="1890" w:type="dxa"/>
                  <w:shd w:val="clear" w:color="auto" w:fill="17A8DB"/>
                  <w:noWrap/>
                  <w:vAlign w:val="center"/>
                  <w:hideMark/>
                </w:tcPr>
                <w:p w:rsidR="00733532" w:rsidRPr="00912DBB" w:rsidRDefault="00CE3B6E"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Under Construction</w:t>
                  </w:r>
                </w:p>
              </w:tc>
              <w:tc>
                <w:tcPr>
                  <w:tcW w:w="1710" w:type="dxa"/>
                  <w:shd w:val="clear" w:color="auto" w:fill="17A8DB"/>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2017</w:t>
                  </w:r>
                </w:p>
              </w:tc>
              <w:tc>
                <w:tcPr>
                  <w:tcW w:w="3060" w:type="dxa"/>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r>
            <w:tr w:rsidR="00733532" w:rsidRPr="00706EB3" w:rsidTr="007836D7">
              <w:trPr>
                <w:cnfStyle w:val="000000010000"/>
                <w:trHeight w:val="255"/>
              </w:trPr>
              <w:tc>
                <w:tcPr>
                  <w:tcW w:w="1892" w:type="dxa"/>
                  <w:gridSpan w:val="2"/>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c>
                <w:tcPr>
                  <w:tcW w:w="798" w:type="dxa"/>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T5</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4.5</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w:t>
                  </w:r>
                  <w:r w:rsidRPr="00912DBB">
                    <w:rPr>
                      <w:rFonts w:eastAsia="Times New Roman" w:cs="Arial"/>
                      <w:color w:val="141313"/>
                      <w:sz w:val="16"/>
                      <w:szCs w:val="18"/>
                      <w:lang w:eastAsia="en-US"/>
                    </w:rPr>
                    <w:t>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2018</w:t>
                  </w:r>
                </w:p>
              </w:tc>
              <w:tc>
                <w:tcPr>
                  <w:tcW w:w="3060" w:type="dxa"/>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r>
            <w:tr w:rsidR="00733532" w:rsidRPr="00706EB3" w:rsidTr="007836D7">
              <w:trPr>
                <w:cnfStyle w:val="000000100000"/>
                <w:trHeight w:val="255"/>
              </w:trPr>
              <w:tc>
                <w:tcPr>
                  <w:tcW w:w="1892" w:type="dxa"/>
                  <w:gridSpan w:val="2"/>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c>
                <w:tcPr>
                  <w:tcW w:w="798" w:type="dxa"/>
                  <w:shd w:val="clear" w:color="auto" w:fill="17A8DB"/>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T6</w:t>
                  </w:r>
                </w:p>
              </w:tc>
              <w:tc>
                <w:tcPr>
                  <w:tcW w:w="900" w:type="dxa"/>
                  <w:shd w:val="clear" w:color="auto" w:fill="17A8DB"/>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4.5</w:t>
                  </w:r>
                </w:p>
              </w:tc>
              <w:tc>
                <w:tcPr>
                  <w:tcW w:w="1890" w:type="dxa"/>
                  <w:shd w:val="clear" w:color="auto" w:fill="17A8DB"/>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shd w:val="clear" w:color="auto" w:fill="17A8DB"/>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N/A</w:t>
                  </w:r>
                </w:p>
              </w:tc>
              <w:tc>
                <w:tcPr>
                  <w:tcW w:w="3060" w:type="dxa"/>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r>
            <w:tr w:rsidR="00733532" w:rsidRPr="00706EB3" w:rsidTr="007836D7">
              <w:trPr>
                <w:cnfStyle w:val="000000010000"/>
                <w:trHeight w:val="255"/>
              </w:trPr>
              <w:tc>
                <w:tcPr>
                  <w:tcW w:w="1892" w:type="dxa"/>
                  <w:gridSpan w:val="2"/>
                  <w:vMerge w:val="restart"/>
                  <w:shd w:val="clear" w:color="auto" w:fill="9ADCF4"/>
                  <w:noWrap/>
                  <w:vAlign w:val="center"/>
                  <w:hideMark/>
                </w:tcPr>
                <w:p w:rsidR="00733532" w:rsidRPr="0036771A" w:rsidRDefault="00733532" w:rsidP="007836D7">
                  <w:pPr>
                    <w:framePr w:hSpace="180" w:wrap="around" w:vAnchor="text" w:hAnchor="margin" w:y="-177"/>
                    <w:widowControl/>
                    <w:rPr>
                      <w:rFonts w:eastAsia="Times New Roman" w:cs="Arial"/>
                      <w:color w:val="141313"/>
                      <w:sz w:val="16"/>
                      <w:szCs w:val="18"/>
                      <w:lang w:eastAsia="en-US"/>
                    </w:rPr>
                  </w:pPr>
                  <w:r w:rsidRPr="0036771A">
                    <w:rPr>
                      <w:rFonts w:eastAsia="Times New Roman" w:cs="Arial"/>
                      <w:color w:val="141313"/>
                      <w:sz w:val="16"/>
                      <w:szCs w:val="18"/>
                      <w:lang w:eastAsia="en-US"/>
                    </w:rPr>
                    <w:t>Freeport LNG*</w:t>
                  </w:r>
                </w:p>
              </w:tc>
              <w:tc>
                <w:tcPr>
                  <w:tcW w:w="798" w:type="dxa"/>
                  <w:shd w:val="clear" w:color="auto" w:fill="9ADCF4"/>
                  <w:noWrap/>
                  <w:vAlign w:val="center"/>
                  <w:hideMark/>
                </w:tcPr>
                <w:p w:rsidR="00733532" w:rsidRPr="0036771A" w:rsidRDefault="00733532" w:rsidP="007836D7">
                  <w:pPr>
                    <w:framePr w:hSpace="180" w:wrap="around" w:vAnchor="text" w:hAnchor="margin" w:y="-177"/>
                    <w:widowControl/>
                    <w:rPr>
                      <w:rFonts w:eastAsia="Times New Roman" w:cs="Arial"/>
                      <w:color w:val="141313"/>
                      <w:sz w:val="16"/>
                      <w:szCs w:val="18"/>
                      <w:lang w:eastAsia="en-US"/>
                    </w:rPr>
                  </w:pPr>
                  <w:r>
                    <w:rPr>
                      <w:rFonts w:eastAsia="Times New Roman" w:cs="Arial"/>
                      <w:color w:val="141313"/>
                      <w:sz w:val="16"/>
                      <w:szCs w:val="18"/>
                      <w:lang w:eastAsia="en-US"/>
                    </w:rPr>
                    <w:t>T1-2</w:t>
                  </w:r>
                </w:p>
              </w:tc>
              <w:tc>
                <w:tcPr>
                  <w:tcW w:w="900" w:type="dxa"/>
                  <w:shd w:val="clear" w:color="auto" w:fill="9ADCF4"/>
                  <w:noWrap/>
                  <w:vAlign w:val="center"/>
                  <w:hideMark/>
                </w:tcPr>
                <w:p w:rsidR="00733532" w:rsidRPr="0036771A" w:rsidRDefault="00733532" w:rsidP="007836D7">
                  <w:pPr>
                    <w:framePr w:hSpace="180" w:wrap="around" w:vAnchor="text" w:hAnchor="margin" w:y="-177"/>
                    <w:widowControl/>
                    <w:jc w:val="center"/>
                    <w:rPr>
                      <w:rFonts w:eastAsia="Times New Roman" w:cs="Arial"/>
                      <w:color w:val="141313"/>
                      <w:sz w:val="16"/>
                      <w:szCs w:val="18"/>
                      <w:lang w:eastAsia="en-US"/>
                    </w:rPr>
                  </w:pPr>
                  <w:r w:rsidRPr="0036771A">
                    <w:rPr>
                      <w:rFonts w:eastAsia="Times New Roman" w:cs="Arial"/>
                      <w:color w:val="141313"/>
                      <w:sz w:val="16"/>
                      <w:szCs w:val="18"/>
                      <w:lang w:eastAsia="en-US"/>
                    </w:rPr>
                    <w:t>8.8</w:t>
                  </w:r>
                </w:p>
              </w:tc>
              <w:tc>
                <w:tcPr>
                  <w:tcW w:w="1890" w:type="dxa"/>
                  <w:shd w:val="clear" w:color="auto" w:fill="9ADCF4"/>
                  <w:noWrap/>
                  <w:vAlign w:val="center"/>
                  <w:hideMark/>
                </w:tcPr>
                <w:p w:rsidR="00733532" w:rsidRPr="0036771A" w:rsidRDefault="00733532" w:rsidP="007836D7">
                  <w:pPr>
                    <w:framePr w:hSpace="180" w:wrap="around" w:vAnchor="text" w:hAnchor="margin" w:y="-177"/>
                    <w:widowControl/>
                    <w:jc w:val="center"/>
                    <w:rPr>
                      <w:rFonts w:eastAsia="Times New Roman" w:cs="Arial"/>
                      <w:color w:val="141313"/>
                      <w:sz w:val="16"/>
                      <w:szCs w:val="18"/>
                      <w:lang w:eastAsia="en-US"/>
                    </w:rPr>
                  </w:pPr>
                  <w:r w:rsidRPr="0036771A">
                    <w:rPr>
                      <w:rFonts w:eastAsia="Times New Roman" w:cs="Arial"/>
                      <w:color w:val="141313"/>
                      <w:sz w:val="16"/>
                      <w:szCs w:val="18"/>
                      <w:lang w:eastAsia="en-US"/>
                    </w:rPr>
                    <w:t>Pre-FID</w:t>
                  </w:r>
                </w:p>
              </w:tc>
              <w:tc>
                <w:tcPr>
                  <w:tcW w:w="1710" w:type="dxa"/>
                  <w:shd w:val="clear" w:color="auto" w:fill="9ADCF4"/>
                  <w:noWrap/>
                  <w:vAlign w:val="center"/>
                  <w:hideMark/>
                </w:tcPr>
                <w:p w:rsidR="00733532" w:rsidRPr="0036771A" w:rsidRDefault="00733532" w:rsidP="007836D7">
                  <w:pPr>
                    <w:framePr w:hSpace="180" w:wrap="around" w:vAnchor="text" w:hAnchor="margin" w:y="-177"/>
                    <w:widowControl/>
                    <w:jc w:val="center"/>
                    <w:rPr>
                      <w:rFonts w:eastAsia="Times New Roman" w:cs="Arial"/>
                      <w:color w:val="141313"/>
                      <w:sz w:val="16"/>
                      <w:szCs w:val="18"/>
                      <w:lang w:eastAsia="en-US"/>
                    </w:rPr>
                  </w:pPr>
                  <w:r w:rsidRPr="0036771A">
                    <w:rPr>
                      <w:rFonts w:eastAsia="Times New Roman" w:cs="Arial"/>
                      <w:color w:val="141313"/>
                      <w:sz w:val="16"/>
                      <w:szCs w:val="18"/>
                      <w:lang w:eastAsia="en-US"/>
                    </w:rPr>
                    <w:t>2017-18</w:t>
                  </w:r>
                </w:p>
              </w:tc>
              <w:tc>
                <w:tcPr>
                  <w:tcW w:w="3060" w:type="dxa"/>
                  <w:vMerge w:val="restart"/>
                  <w:shd w:val="clear" w:color="auto" w:fill="9ADCF4"/>
                  <w:vAlign w:val="center"/>
                  <w:hideMark/>
                </w:tcPr>
                <w:p w:rsidR="00733532" w:rsidRPr="0036771A" w:rsidRDefault="00733532" w:rsidP="007836D7">
                  <w:pPr>
                    <w:framePr w:hSpace="180" w:wrap="around" w:vAnchor="text" w:hAnchor="margin" w:y="-177"/>
                    <w:widowControl/>
                    <w:rPr>
                      <w:rFonts w:eastAsia="Times New Roman" w:cs="Arial"/>
                      <w:color w:val="141313"/>
                      <w:sz w:val="16"/>
                      <w:szCs w:val="18"/>
                      <w:lang w:eastAsia="en-US"/>
                    </w:rPr>
                  </w:pPr>
                  <w:r w:rsidRPr="0036771A">
                    <w:rPr>
                      <w:rFonts w:eastAsia="Times New Roman" w:cs="Arial"/>
                      <w:color w:val="141313"/>
                      <w:sz w:val="16"/>
                      <w:szCs w:val="18"/>
                      <w:lang w:eastAsia="en-US"/>
                    </w:rPr>
                    <w:t xml:space="preserve">Freeport LNG Liquefaction </w:t>
                  </w:r>
                </w:p>
              </w:tc>
            </w:tr>
            <w:tr w:rsidR="00733532" w:rsidRPr="00706EB3" w:rsidTr="007836D7">
              <w:trPr>
                <w:cnfStyle w:val="000000100000"/>
                <w:trHeight w:val="255"/>
              </w:trPr>
              <w:tc>
                <w:tcPr>
                  <w:tcW w:w="1892" w:type="dxa"/>
                  <w:gridSpan w:val="2"/>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c>
                <w:tcPr>
                  <w:tcW w:w="798" w:type="dxa"/>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T3</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4.4</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2018</w:t>
                  </w:r>
                </w:p>
              </w:tc>
              <w:tc>
                <w:tcPr>
                  <w:tcW w:w="3060" w:type="dxa"/>
                  <w:vMerge/>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Corpus Christi LNG T1-3</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13.5</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2017</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 xml:space="preserve">Cheniere </w:t>
                  </w:r>
                  <w:r>
                    <w:rPr>
                      <w:rFonts w:eastAsia="Times New Roman" w:cs="Arial"/>
                      <w:color w:val="141313"/>
                      <w:sz w:val="16"/>
                      <w:szCs w:val="18"/>
                      <w:lang w:eastAsia="en-US"/>
                    </w:rPr>
                    <w:t>Energy</w:t>
                  </w:r>
                </w:p>
              </w:tc>
            </w:tr>
            <w:tr w:rsidR="00733532" w:rsidRPr="00706EB3" w:rsidTr="007836D7">
              <w:trPr>
                <w:cnfStyle w:val="00000010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Cameron LNG T1-3*</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12</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2017-18</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Sempra</w:t>
                  </w:r>
                  <w:r>
                    <w:rPr>
                      <w:rFonts w:eastAsia="Times New Roman" w:cs="Arial"/>
                      <w:color w:val="141313"/>
                      <w:sz w:val="16"/>
                      <w:szCs w:val="18"/>
                      <w:lang w:eastAsia="en-US"/>
                    </w:rPr>
                    <w:t xml:space="preserve"> Energy</w:t>
                  </w: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Cove Point LNG T1-2*</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7.8</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2017</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Dominion</w:t>
                  </w:r>
                  <w:r>
                    <w:rPr>
                      <w:rFonts w:eastAsia="Times New Roman" w:cs="Arial"/>
                      <w:color w:val="141313"/>
                      <w:sz w:val="16"/>
                      <w:szCs w:val="18"/>
                      <w:lang w:eastAsia="en-US"/>
                    </w:rPr>
                    <w:t xml:space="preserve"> Resources</w:t>
                  </w:r>
                </w:p>
              </w:tc>
            </w:tr>
            <w:tr w:rsidR="00733532" w:rsidRPr="00706EB3" w:rsidTr="007836D7">
              <w:trPr>
                <w:cnfStyle w:val="00000010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Jordan Cove LNG</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6</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2018</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roofErr w:type="spellStart"/>
                  <w:r w:rsidRPr="00912DBB">
                    <w:rPr>
                      <w:rFonts w:eastAsia="Times New Roman" w:cs="Arial"/>
                      <w:color w:val="141313"/>
                      <w:sz w:val="16"/>
                      <w:szCs w:val="18"/>
                      <w:lang w:eastAsia="en-US"/>
                    </w:rPr>
                    <w:t>Veresen</w:t>
                  </w:r>
                  <w:proofErr w:type="spellEnd"/>
                  <w:r w:rsidRPr="00912DBB">
                    <w:rPr>
                      <w:rFonts w:eastAsia="Times New Roman" w:cs="Arial"/>
                      <w:color w:val="141313"/>
                      <w:sz w:val="16"/>
                      <w:szCs w:val="18"/>
                      <w:lang w:eastAsia="en-US"/>
                    </w:rPr>
                    <w:t xml:space="preserve"> </w:t>
                  </w: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Lake Charles LNG T1-3*</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15</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2018</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roofErr w:type="spellStart"/>
                  <w:r w:rsidRPr="00005D8E">
                    <w:rPr>
                      <w:rFonts w:eastAsia="Times New Roman" w:cs="Arial"/>
                      <w:color w:val="141313"/>
                      <w:sz w:val="16"/>
                      <w:szCs w:val="18"/>
                      <w:lang w:eastAsia="en-US"/>
                    </w:rPr>
                    <w:t>Trunkline</w:t>
                  </w:r>
                  <w:proofErr w:type="spellEnd"/>
                  <w:r w:rsidRPr="00005D8E">
                    <w:rPr>
                      <w:rFonts w:eastAsia="Times New Roman" w:cs="Arial"/>
                      <w:color w:val="141313"/>
                      <w:sz w:val="16"/>
                      <w:szCs w:val="18"/>
                      <w:lang w:eastAsia="en-US"/>
                    </w:rPr>
                    <w:t xml:space="preserve"> LNG</w:t>
                  </w:r>
                </w:p>
              </w:tc>
            </w:tr>
            <w:tr w:rsidR="00733532" w:rsidRPr="00706EB3" w:rsidTr="007836D7">
              <w:trPr>
                <w:cnfStyle w:val="00000010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Oregon LNG</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9</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2017</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Oregon LNG</w:t>
                  </w: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Lavaca Bay Phase 1-2 (OS)</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10</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2017</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Excelerate Energy</w:t>
                  </w:r>
                </w:p>
              </w:tc>
            </w:tr>
            <w:tr w:rsidR="00733532" w:rsidRPr="00706EB3" w:rsidTr="007836D7">
              <w:trPr>
                <w:cnfStyle w:val="00000010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Elba Island LNG T1-2*</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2.5</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2015</w:t>
                  </w:r>
                </w:p>
              </w:tc>
              <w:tc>
                <w:tcPr>
                  <w:tcW w:w="3060" w:type="dxa"/>
                  <w:vAlign w:val="center"/>
                  <w:hideMark/>
                </w:tcPr>
                <w:p w:rsidR="00733532" w:rsidRPr="00005D8E" w:rsidRDefault="00733532" w:rsidP="007836D7">
                  <w:pPr>
                    <w:framePr w:hSpace="180" w:wrap="around" w:vAnchor="text" w:hAnchor="margin" w:y="-177"/>
                    <w:widowControl/>
                    <w:rPr>
                      <w:rFonts w:eastAsia="Times New Roman" w:cs="Arial"/>
                      <w:color w:val="141313"/>
                      <w:sz w:val="16"/>
                      <w:szCs w:val="18"/>
                      <w:lang w:eastAsia="en-US"/>
                    </w:rPr>
                  </w:pPr>
                  <w:r w:rsidRPr="00005D8E">
                    <w:rPr>
                      <w:rFonts w:eastAsia="Times New Roman" w:cs="Arial"/>
                      <w:color w:val="141313"/>
                      <w:sz w:val="16"/>
                      <w:szCs w:val="18"/>
                      <w:lang w:eastAsia="en-US"/>
                    </w:rPr>
                    <w:t>Southern LNG (Kinder Morgan)</w:t>
                  </w: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Gulf LNG T1-2*</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10</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2018</w:t>
                  </w:r>
                </w:p>
              </w:tc>
              <w:tc>
                <w:tcPr>
                  <w:tcW w:w="3060" w:type="dxa"/>
                  <w:vAlign w:val="center"/>
                  <w:hideMark/>
                </w:tcPr>
                <w:p w:rsidR="00733532" w:rsidRPr="00005D8E" w:rsidRDefault="00733532" w:rsidP="007836D7">
                  <w:pPr>
                    <w:framePr w:hSpace="180" w:wrap="around" w:vAnchor="text" w:hAnchor="margin" w:y="-177"/>
                    <w:widowControl/>
                    <w:rPr>
                      <w:rFonts w:eastAsia="Times New Roman" w:cs="Arial"/>
                      <w:color w:val="141313"/>
                      <w:sz w:val="16"/>
                      <w:szCs w:val="18"/>
                      <w:lang w:eastAsia="en-US"/>
                    </w:rPr>
                  </w:pPr>
                  <w:r w:rsidRPr="00005D8E">
                    <w:rPr>
                      <w:rFonts w:eastAsia="Times New Roman" w:cs="Arial"/>
                      <w:color w:val="141313"/>
                      <w:sz w:val="16"/>
                      <w:szCs w:val="18"/>
                      <w:lang w:eastAsia="en-US"/>
                    </w:rPr>
                    <w:t>Gulf LNG (Kinder Morgan)</w:t>
                  </w:r>
                </w:p>
              </w:tc>
            </w:tr>
            <w:tr w:rsidR="00733532" w:rsidRPr="00706EB3" w:rsidTr="007836D7">
              <w:trPr>
                <w:cnfStyle w:val="00000010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Magnolia LNG T1-2</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4</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N/A</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LNG Limited</w:t>
                  </w: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CE FLNG T1-2 (OS)</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8</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N/A</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 xml:space="preserve">Cambridge Energy Holdings </w:t>
                  </w:r>
                </w:p>
              </w:tc>
            </w:tr>
            <w:tr w:rsidR="00733532" w:rsidRPr="00706EB3" w:rsidTr="007836D7">
              <w:trPr>
                <w:cnfStyle w:val="00000010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Golden Pass LNG T1-3*</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15.6</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2018</w:t>
                  </w:r>
                </w:p>
              </w:tc>
              <w:tc>
                <w:tcPr>
                  <w:tcW w:w="3060" w:type="dxa"/>
                  <w:vAlign w:val="center"/>
                  <w:hideMark/>
                </w:tcPr>
                <w:p w:rsidR="00733532" w:rsidRPr="00005D8E" w:rsidRDefault="00733532" w:rsidP="007836D7">
                  <w:pPr>
                    <w:framePr w:hSpace="180" w:wrap="around" w:vAnchor="text" w:hAnchor="margin" w:y="-177"/>
                    <w:widowControl/>
                    <w:ind w:right="-108"/>
                    <w:rPr>
                      <w:rFonts w:eastAsia="Times New Roman" w:cs="Arial"/>
                      <w:color w:val="141313"/>
                      <w:sz w:val="16"/>
                      <w:szCs w:val="18"/>
                      <w:lang w:eastAsia="en-US"/>
                    </w:rPr>
                  </w:pPr>
                  <w:r w:rsidRPr="00005D8E">
                    <w:rPr>
                      <w:rFonts w:eastAsia="Times New Roman" w:cs="Arial"/>
                      <w:color w:val="141313"/>
                      <w:sz w:val="16"/>
                      <w:szCs w:val="18"/>
                      <w:lang w:eastAsia="en-US"/>
                    </w:rPr>
                    <w:t>Golden Pass Products (Q</w:t>
                  </w:r>
                  <w:r>
                    <w:rPr>
                      <w:rFonts w:eastAsia="Times New Roman" w:cs="Arial"/>
                      <w:color w:val="141313"/>
                      <w:sz w:val="16"/>
                      <w:szCs w:val="18"/>
                      <w:lang w:eastAsia="en-US"/>
                    </w:rPr>
                    <w:t xml:space="preserve">atar </w:t>
                  </w:r>
                  <w:r w:rsidRPr="00005D8E">
                    <w:rPr>
                      <w:rFonts w:eastAsia="Times New Roman" w:cs="Arial"/>
                      <w:color w:val="141313"/>
                      <w:sz w:val="16"/>
                      <w:szCs w:val="18"/>
                      <w:lang w:eastAsia="en-US"/>
                    </w:rPr>
                    <w:t>P</w:t>
                  </w:r>
                  <w:r>
                    <w:rPr>
                      <w:rFonts w:eastAsia="Times New Roman" w:cs="Arial"/>
                      <w:color w:val="141313"/>
                      <w:sz w:val="16"/>
                      <w:szCs w:val="18"/>
                      <w:lang w:eastAsia="en-US"/>
                    </w:rPr>
                    <w:t>etroleum</w:t>
                  </w:r>
                  <w:r w:rsidRPr="00005D8E">
                    <w:rPr>
                      <w:rFonts w:eastAsia="Times New Roman" w:cs="Arial"/>
                      <w:color w:val="141313"/>
                      <w:sz w:val="16"/>
                      <w:szCs w:val="18"/>
                      <w:lang w:eastAsia="en-US"/>
                    </w:rPr>
                    <w:t xml:space="preserve">, </w:t>
                  </w:r>
                  <w:r>
                    <w:rPr>
                      <w:rFonts w:eastAsia="Times New Roman" w:cs="Arial"/>
                      <w:color w:val="141313"/>
                      <w:sz w:val="16"/>
                      <w:szCs w:val="18"/>
                      <w:lang w:eastAsia="en-US"/>
                    </w:rPr>
                    <w:t>ExxonMobil</w:t>
                  </w:r>
                  <w:r w:rsidRPr="00005D8E">
                    <w:rPr>
                      <w:rFonts w:eastAsia="Times New Roman" w:cs="Arial"/>
                      <w:color w:val="141313"/>
                      <w:sz w:val="16"/>
                      <w:szCs w:val="18"/>
                      <w:lang w:eastAsia="en-US"/>
                    </w:rPr>
                    <w:t>)</w:t>
                  </w: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Gulf Coast LNG T1-4</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21</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005D8E" w:rsidRDefault="00733532" w:rsidP="007836D7">
                  <w:pPr>
                    <w:framePr w:hSpace="180" w:wrap="around" w:vAnchor="text" w:hAnchor="margin" w:y="-177"/>
                    <w:widowControl/>
                    <w:jc w:val="center"/>
                    <w:rPr>
                      <w:rFonts w:eastAsia="Times New Roman" w:cs="Arial"/>
                      <w:color w:val="141313"/>
                      <w:sz w:val="16"/>
                      <w:szCs w:val="18"/>
                      <w:lang w:eastAsia="en-US"/>
                    </w:rPr>
                  </w:pPr>
                  <w:r w:rsidRPr="00005D8E">
                    <w:rPr>
                      <w:rFonts w:eastAsia="Times New Roman" w:cs="Arial"/>
                      <w:color w:val="141313"/>
                      <w:sz w:val="16"/>
                      <w:szCs w:val="18"/>
                      <w:lang w:eastAsia="en-US"/>
                    </w:rPr>
                    <w:t>N/A</w:t>
                  </w:r>
                </w:p>
              </w:tc>
              <w:tc>
                <w:tcPr>
                  <w:tcW w:w="3060" w:type="dxa"/>
                  <w:vAlign w:val="center"/>
                  <w:hideMark/>
                </w:tcPr>
                <w:p w:rsidR="00733532" w:rsidRPr="00005D8E" w:rsidRDefault="00733532" w:rsidP="007836D7">
                  <w:pPr>
                    <w:framePr w:hSpace="180" w:wrap="around" w:vAnchor="text" w:hAnchor="margin" w:y="-177"/>
                    <w:widowControl/>
                    <w:rPr>
                      <w:rFonts w:eastAsia="Times New Roman" w:cs="Arial"/>
                      <w:color w:val="141313"/>
                      <w:sz w:val="16"/>
                      <w:szCs w:val="18"/>
                      <w:lang w:eastAsia="en-US"/>
                    </w:rPr>
                  </w:pPr>
                  <w:r w:rsidRPr="00005D8E">
                    <w:rPr>
                      <w:rFonts w:eastAsia="Times New Roman" w:cs="Arial"/>
                      <w:color w:val="141313"/>
                      <w:sz w:val="16"/>
                      <w:szCs w:val="18"/>
                      <w:lang w:eastAsia="en-US"/>
                    </w:rPr>
                    <w:t>Gulf Coast LNG Export</w:t>
                  </w:r>
                </w:p>
              </w:tc>
            </w:tr>
            <w:tr w:rsidR="00733532" w:rsidRPr="00706EB3" w:rsidTr="007836D7">
              <w:trPr>
                <w:cnfStyle w:val="000000100000"/>
                <w:trHeight w:val="216"/>
              </w:trPr>
              <w:tc>
                <w:tcPr>
                  <w:tcW w:w="2690" w:type="dxa"/>
                  <w:gridSpan w:val="3"/>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Main Pass Energy Hub LNG (OS)</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4</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2017</w:t>
                  </w:r>
                </w:p>
              </w:tc>
              <w:tc>
                <w:tcPr>
                  <w:tcW w:w="3060" w:type="dxa"/>
                  <w:vAlign w:val="center"/>
                  <w:hideMark/>
                </w:tcPr>
                <w:p w:rsidR="00733532" w:rsidRPr="00005D8E" w:rsidRDefault="00733532" w:rsidP="007836D7">
                  <w:pPr>
                    <w:framePr w:hSpace="180" w:wrap="around" w:vAnchor="text" w:hAnchor="margin" w:y="-177"/>
                    <w:widowControl/>
                    <w:rPr>
                      <w:rFonts w:eastAsia="Times New Roman" w:cs="Arial"/>
                      <w:color w:val="141313"/>
                      <w:sz w:val="16"/>
                      <w:szCs w:val="18"/>
                      <w:lang w:eastAsia="en-US"/>
                    </w:rPr>
                  </w:pPr>
                  <w:r w:rsidRPr="00005D8E">
                    <w:rPr>
                      <w:rFonts w:eastAsia="Times New Roman" w:cs="Arial"/>
                      <w:color w:val="141313"/>
                      <w:sz w:val="16"/>
                      <w:szCs w:val="18"/>
                      <w:lang w:eastAsia="en-US"/>
                    </w:rPr>
                    <w:t>Freeport-</w:t>
                  </w:r>
                  <w:proofErr w:type="spellStart"/>
                  <w:r w:rsidRPr="00005D8E">
                    <w:rPr>
                      <w:rFonts w:eastAsia="Times New Roman" w:cs="Arial"/>
                      <w:color w:val="141313"/>
                      <w:sz w:val="16"/>
                      <w:szCs w:val="18"/>
                      <w:lang w:eastAsia="en-US"/>
                    </w:rPr>
                    <w:t>McMoran</w:t>
                  </w:r>
                  <w:proofErr w:type="spellEnd"/>
                  <w:r w:rsidRPr="00005D8E">
                    <w:rPr>
                      <w:rFonts w:eastAsia="Times New Roman" w:cs="Arial"/>
                      <w:color w:val="141313"/>
                      <w:sz w:val="16"/>
                      <w:szCs w:val="18"/>
                      <w:lang w:eastAsia="en-US"/>
                    </w:rPr>
                    <w:t xml:space="preserve"> Energy </w:t>
                  </w:r>
                </w:p>
              </w:tc>
            </w:tr>
            <w:tr w:rsidR="00733532" w:rsidRPr="00706EB3" w:rsidTr="007836D7">
              <w:trPr>
                <w:cnfStyle w:val="00000001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Waller Point LNG (OS)</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1.25</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2014</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Waller Marine, Inc</w:t>
                  </w:r>
                </w:p>
              </w:tc>
            </w:tr>
            <w:tr w:rsidR="00733532" w:rsidRPr="00706EB3" w:rsidTr="007836D7">
              <w:trPr>
                <w:cnfStyle w:val="000000100000"/>
                <w:trHeight w:val="216"/>
              </w:trPr>
              <w:tc>
                <w:tcPr>
                  <w:tcW w:w="2690" w:type="dxa"/>
                  <w:gridSpan w:val="3"/>
                  <w:noWrap/>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r w:rsidRPr="00912DBB">
                    <w:rPr>
                      <w:rFonts w:eastAsia="Times New Roman" w:cs="Arial"/>
                      <w:color w:val="141313"/>
                      <w:sz w:val="16"/>
                      <w:szCs w:val="18"/>
                      <w:lang w:eastAsia="en-US"/>
                    </w:rPr>
                    <w:t>South Texas LNG T1-2</w:t>
                  </w:r>
                </w:p>
              </w:tc>
              <w:tc>
                <w:tcPr>
                  <w:tcW w:w="90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8</w:t>
                  </w:r>
                </w:p>
              </w:tc>
              <w:tc>
                <w:tcPr>
                  <w:tcW w:w="189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733532" w:rsidRPr="00912DBB" w:rsidRDefault="00733532" w:rsidP="007836D7">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2018</w:t>
                  </w:r>
                </w:p>
              </w:tc>
              <w:tc>
                <w:tcPr>
                  <w:tcW w:w="3060" w:type="dxa"/>
                  <w:vAlign w:val="center"/>
                  <w:hideMark/>
                </w:tcPr>
                <w:p w:rsidR="00733532" w:rsidRPr="00912DBB" w:rsidRDefault="00733532" w:rsidP="007836D7">
                  <w:pPr>
                    <w:framePr w:hSpace="180" w:wrap="around" w:vAnchor="text" w:hAnchor="margin" w:y="-177"/>
                    <w:widowControl/>
                    <w:rPr>
                      <w:rFonts w:eastAsia="Times New Roman" w:cs="Arial"/>
                      <w:color w:val="141313"/>
                      <w:sz w:val="16"/>
                      <w:szCs w:val="18"/>
                      <w:lang w:eastAsia="en-US"/>
                    </w:rPr>
                  </w:pPr>
                  <w:proofErr w:type="spellStart"/>
                  <w:r w:rsidRPr="00912DBB">
                    <w:rPr>
                      <w:rFonts w:eastAsia="Times New Roman" w:cs="Arial"/>
                      <w:color w:val="141313"/>
                      <w:sz w:val="16"/>
                      <w:szCs w:val="18"/>
                      <w:lang w:eastAsia="en-US"/>
                    </w:rPr>
                    <w:t>Pangea</w:t>
                  </w:r>
                  <w:proofErr w:type="spellEnd"/>
                  <w:r w:rsidRPr="00912DBB">
                    <w:rPr>
                      <w:rFonts w:eastAsia="Times New Roman" w:cs="Arial"/>
                      <w:color w:val="141313"/>
                      <w:sz w:val="16"/>
                      <w:szCs w:val="18"/>
                      <w:lang w:eastAsia="en-US"/>
                    </w:rPr>
                    <w:t xml:space="preserve"> LNG</w:t>
                  </w:r>
                </w:p>
              </w:tc>
            </w:tr>
            <w:tr w:rsidR="005233F6" w:rsidRPr="00706EB3" w:rsidTr="007836D7">
              <w:trPr>
                <w:cnfStyle w:val="000000010000"/>
                <w:trHeight w:val="216"/>
              </w:trPr>
              <w:tc>
                <w:tcPr>
                  <w:tcW w:w="2690" w:type="dxa"/>
                  <w:gridSpan w:val="3"/>
                  <w:noWrap/>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8"/>
                      <w:lang w:eastAsia="en-US"/>
                    </w:rPr>
                  </w:pPr>
                  <w:proofErr w:type="spellStart"/>
                  <w:r w:rsidRPr="00912DBB">
                    <w:rPr>
                      <w:rFonts w:eastAsia="Times New Roman" w:cs="Arial"/>
                      <w:color w:val="141313"/>
                      <w:sz w:val="16"/>
                      <w:szCs w:val="18"/>
                      <w:lang w:eastAsia="en-US"/>
                    </w:rPr>
                    <w:t>Gasfin</w:t>
                  </w:r>
                  <w:proofErr w:type="spellEnd"/>
                  <w:r w:rsidRPr="00912DBB">
                    <w:rPr>
                      <w:rFonts w:eastAsia="Times New Roman" w:cs="Arial"/>
                      <w:color w:val="141313"/>
                      <w:sz w:val="16"/>
                      <w:szCs w:val="18"/>
                      <w:lang w:eastAsia="en-US"/>
                    </w:rPr>
                    <w:t xml:space="preserve"> LNG</w:t>
                  </w:r>
                </w:p>
              </w:tc>
              <w:tc>
                <w:tcPr>
                  <w:tcW w:w="90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1.5</w:t>
                  </w:r>
                </w:p>
              </w:tc>
              <w:tc>
                <w:tcPr>
                  <w:tcW w:w="189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sidRPr="00912DBB">
                    <w:rPr>
                      <w:rFonts w:eastAsia="Times New Roman" w:cs="Arial"/>
                      <w:color w:val="141313"/>
                      <w:sz w:val="16"/>
                      <w:szCs w:val="18"/>
                      <w:lang w:eastAsia="en-US"/>
                    </w:rPr>
                    <w:t>N/A</w:t>
                  </w:r>
                </w:p>
              </w:tc>
              <w:tc>
                <w:tcPr>
                  <w:tcW w:w="3060" w:type="dxa"/>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8"/>
                      <w:lang w:eastAsia="en-US"/>
                    </w:rPr>
                  </w:pPr>
                  <w:proofErr w:type="spellStart"/>
                  <w:r w:rsidRPr="00912DBB">
                    <w:rPr>
                      <w:rFonts w:eastAsia="Times New Roman" w:cs="Arial"/>
                      <w:color w:val="141313"/>
                      <w:sz w:val="16"/>
                      <w:szCs w:val="18"/>
                      <w:lang w:eastAsia="en-US"/>
                    </w:rPr>
                    <w:t>Gasfin</w:t>
                  </w:r>
                  <w:proofErr w:type="spellEnd"/>
                  <w:r>
                    <w:rPr>
                      <w:rFonts w:eastAsia="Times New Roman" w:cs="Arial"/>
                      <w:color w:val="141313"/>
                      <w:sz w:val="16"/>
                      <w:szCs w:val="18"/>
                      <w:lang w:eastAsia="en-US"/>
                    </w:rPr>
                    <w:t xml:space="preserve"> Development</w:t>
                  </w:r>
                </w:p>
              </w:tc>
            </w:tr>
            <w:tr w:rsidR="005233F6" w:rsidRPr="00706EB3" w:rsidTr="007836D7">
              <w:trPr>
                <w:cnfStyle w:val="000000100000"/>
                <w:trHeight w:val="216"/>
              </w:trPr>
              <w:tc>
                <w:tcPr>
                  <w:tcW w:w="2690" w:type="dxa"/>
                  <w:gridSpan w:val="3"/>
                  <w:noWrap/>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8"/>
                      <w:lang w:eastAsia="en-US"/>
                    </w:rPr>
                  </w:pPr>
                  <w:r>
                    <w:rPr>
                      <w:rFonts w:eastAsia="Times New Roman" w:cs="Arial"/>
                      <w:color w:val="141313"/>
                      <w:sz w:val="16"/>
                      <w:szCs w:val="18"/>
                      <w:lang w:eastAsia="en-US"/>
                    </w:rPr>
                    <w:t>Venture Global LNG</w:t>
                  </w:r>
                </w:p>
              </w:tc>
              <w:tc>
                <w:tcPr>
                  <w:tcW w:w="90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5</w:t>
                  </w:r>
                </w:p>
              </w:tc>
              <w:tc>
                <w:tcPr>
                  <w:tcW w:w="189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N/A</w:t>
                  </w:r>
                </w:p>
              </w:tc>
              <w:tc>
                <w:tcPr>
                  <w:tcW w:w="3060" w:type="dxa"/>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8"/>
                      <w:lang w:eastAsia="en-US"/>
                    </w:rPr>
                  </w:pPr>
                  <w:r>
                    <w:rPr>
                      <w:rFonts w:eastAsia="Times New Roman" w:cs="Arial"/>
                      <w:color w:val="141313"/>
                      <w:sz w:val="16"/>
                      <w:szCs w:val="18"/>
                      <w:lang w:eastAsia="en-US"/>
                    </w:rPr>
                    <w:t>Venture Global Partners</w:t>
                  </w:r>
                </w:p>
              </w:tc>
            </w:tr>
            <w:tr w:rsidR="005233F6" w:rsidRPr="00706EB3" w:rsidTr="007836D7">
              <w:trPr>
                <w:cnfStyle w:val="000000010000"/>
                <w:trHeight w:val="227"/>
              </w:trPr>
              <w:tc>
                <w:tcPr>
                  <w:tcW w:w="10250" w:type="dxa"/>
                  <w:gridSpan w:val="7"/>
                  <w:shd w:val="clear" w:color="auto" w:fill="215A99"/>
                  <w:noWrap/>
                  <w:vAlign w:val="center"/>
                  <w:hideMark/>
                </w:tcPr>
                <w:p w:rsidR="005233F6" w:rsidRPr="0036771A" w:rsidRDefault="005233F6" w:rsidP="005233F6">
                  <w:pPr>
                    <w:framePr w:hSpace="180" w:wrap="around" w:vAnchor="text" w:hAnchor="margin" w:y="-177"/>
                    <w:widowControl/>
                    <w:jc w:val="center"/>
                    <w:rPr>
                      <w:rFonts w:eastAsia="Times New Roman" w:cs="Arial"/>
                      <w:color w:val="FFFFFF" w:themeColor="background1"/>
                      <w:sz w:val="16"/>
                      <w:szCs w:val="18"/>
                      <w:lang w:eastAsia="en-US"/>
                    </w:rPr>
                  </w:pPr>
                  <w:r w:rsidRPr="0036771A">
                    <w:rPr>
                      <w:rFonts w:eastAsia="Times New Roman" w:cs="Arial"/>
                      <w:b/>
                      <w:color w:val="FFFFFF" w:themeColor="background1"/>
                      <w:sz w:val="16"/>
                      <w:szCs w:val="18"/>
                      <w:lang w:eastAsia="en-US"/>
                    </w:rPr>
                    <w:t>Canada</w:t>
                  </w:r>
                </w:p>
              </w:tc>
            </w:tr>
            <w:tr w:rsidR="005233F6" w:rsidRPr="00706EB3" w:rsidTr="005233F6">
              <w:trPr>
                <w:cnfStyle w:val="000000100000"/>
                <w:trHeight w:val="216"/>
              </w:trPr>
              <w:tc>
                <w:tcPr>
                  <w:tcW w:w="2690" w:type="dxa"/>
                  <w:gridSpan w:val="3"/>
                  <w:shd w:val="clear" w:color="auto" w:fill="17A8DB"/>
                  <w:noWrap/>
                  <w:vAlign w:val="center"/>
                  <w:hideMark/>
                </w:tcPr>
                <w:p w:rsidR="005233F6" w:rsidRPr="00005D8E" w:rsidRDefault="005233F6" w:rsidP="005233F6">
                  <w:pPr>
                    <w:framePr w:hSpace="180" w:wrap="around" w:vAnchor="text" w:hAnchor="margin" w:y="-177"/>
                    <w:widowControl/>
                    <w:rPr>
                      <w:rFonts w:eastAsia="Times New Roman" w:cs="Arial"/>
                      <w:bCs/>
                      <w:color w:val="141313"/>
                      <w:sz w:val="16"/>
                      <w:szCs w:val="16"/>
                      <w:lang w:eastAsia="en-US"/>
                    </w:rPr>
                  </w:pPr>
                  <w:r w:rsidRPr="00005D8E">
                    <w:rPr>
                      <w:rFonts w:eastAsia="Times New Roman" w:cs="Arial"/>
                      <w:bCs/>
                      <w:color w:val="141313"/>
                      <w:sz w:val="16"/>
                      <w:szCs w:val="16"/>
                      <w:lang w:eastAsia="en-US"/>
                    </w:rPr>
                    <w:t>LNG Canada T1-2</w:t>
                  </w:r>
                </w:p>
              </w:tc>
              <w:tc>
                <w:tcPr>
                  <w:tcW w:w="900" w:type="dxa"/>
                  <w:shd w:val="clear" w:color="auto" w:fill="17A8DB"/>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12</w:t>
                  </w:r>
                </w:p>
              </w:tc>
              <w:tc>
                <w:tcPr>
                  <w:tcW w:w="1890" w:type="dxa"/>
                  <w:shd w:val="clear" w:color="auto" w:fill="17A8DB"/>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shd w:val="clear" w:color="auto" w:fill="17A8DB"/>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2019-2020</w:t>
                  </w:r>
                </w:p>
              </w:tc>
              <w:tc>
                <w:tcPr>
                  <w:tcW w:w="3060" w:type="dxa"/>
                  <w:shd w:val="clear" w:color="auto" w:fill="17A8DB"/>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6"/>
                      <w:lang w:eastAsia="en-US"/>
                    </w:rPr>
                  </w:pPr>
                  <w:r>
                    <w:rPr>
                      <w:rFonts w:eastAsia="Times New Roman" w:cs="Arial"/>
                      <w:color w:val="141313"/>
                      <w:sz w:val="16"/>
                      <w:szCs w:val="16"/>
                      <w:lang w:eastAsia="en-US"/>
                    </w:rPr>
                    <w:t xml:space="preserve">Royal Dutch </w:t>
                  </w:r>
                  <w:r w:rsidRPr="00912DBB">
                    <w:rPr>
                      <w:rFonts w:eastAsia="Times New Roman" w:cs="Arial"/>
                      <w:color w:val="141313"/>
                      <w:sz w:val="16"/>
                      <w:szCs w:val="16"/>
                      <w:lang w:eastAsia="en-US"/>
                    </w:rPr>
                    <w:t>Shell</w:t>
                  </w:r>
                </w:p>
              </w:tc>
            </w:tr>
            <w:tr w:rsidR="005233F6" w:rsidRPr="00706EB3" w:rsidTr="005233F6">
              <w:trPr>
                <w:cnfStyle w:val="000000010000"/>
                <w:trHeight w:val="216"/>
              </w:trPr>
              <w:tc>
                <w:tcPr>
                  <w:tcW w:w="1345" w:type="dxa"/>
                  <w:vMerge w:val="restart"/>
                  <w:shd w:val="clear" w:color="auto" w:fill="9ADCF4"/>
                  <w:noWrap/>
                  <w:vAlign w:val="center"/>
                  <w:hideMark/>
                </w:tcPr>
                <w:p w:rsidR="005233F6" w:rsidRDefault="005233F6" w:rsidP="005233F6">
                  <w:pPr>
                    <w:framePr w:hSpace="180" w:wrap="around" w:vAnchor="text" w:hAnchor="margin" w:y="-177"/>
                    <w:rPr>
                      <w:rFonts w:cs="Arial"/>
                      <w:color w:val="141313"/>
                      <w:sz w:val="16"/>
                      <w:szCs w:val="16"/>
                    </w:rPr>
                  </w:pPr>
                  <w:r>
                    <w:rPr>
                      <w:rFonts w:cs="Arial"/>
                      <w:color w:val="141313"/>
                      <w:sz w:val="16"/>
                      <w:szCs w:val="16"/>
                    </w:rPr>
                    <w:t>Kitimat LNG</w:t>
                  </w:r>
                </w:p>
              </w:tc>
              <w:tc>
                <w:tcPr>
                  <w:tcW w:w="1345" w:type="dxa"/>
                  <w:gridSpan w:val="2"/>
                  <w:shd w:val="clear" w:color="auto" w:fill="9ADCF4"/>
                  <w:vAlign w:val="center"/>
                </w:tcPr>
                <w:p w:rsidR="005233F6" w:rsidRDefault="005233F6" w:rsidP="005233F6">
                  <w:pPr>
                    <w:framePr w:hSpace="180" w:wrap="around" w:vAnchor="text" w:hAnchor="margin" w:y="-177"/>
                    <w:rPr>
                      <w:rFonts w:cs="Arial"/>
                      <w:color w:val="141313"/>
                      <w:sz w:val="16"/>
                      <w:szCs w:val="16"/>
                    </w:rPr>
                  </w:pPr>
                  <w:r>
                    <w:rPr>
                      <w:rFonts w:cs="Arial"/>
                      <w:color w:val="141313"/>
                      <w:sz w:val="16"/>
                      <w:szCs w:val="16"/>
                    </w:rPr>
                    <w:t>T1</w:t>
                  </w:r>
                </w:p>
              </w:tc>
              <w:tc>
                <w:tcPr>
                  <w:tcW w:w="900" w:type="dxa"/>
                  <w:shd w:val="clear" w:color="auto" w:fill="9ADCF4"/>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5</w:t>
                  </w:r>
                </w:p>
              </w:tc>
              <w:tc>
                <w:tcPr>
                  <w:tcW w:w="1890" w:type="dxa"/>
                  <w:shd w:val="clear" w:color="auto" w:fill="9ADCF4"/>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Pre-FID</w:t>
                  </w:r>
                </w:p>
              </w:tc>
              <w:tc>
                <w:tcPr>
                  <w:tcW w:w="1710" w:type="dxa"/>
                  <w:shd w:val="clear" w:color="auto" w:fill="9ADCF4"/>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2017</w:t>
                  </w:r>
                </w:p>
              </w:tc>
              <w:tc>
                <w:tcPr>
                  <w:tcW w:w="3060" w:type="dxa"/>
                  <w:vMerge w:val="restart"/>
                  <w:shd w:val="clear" w:color="auto" w:fill="9ADCF4"/>
                  <w:vAlign w:val="center"/>
                  <w:hideMark/>
                </w:tcPr>
                <w:p w:rsidR="005233F6" w:rsidRDefault="005233F6" w:rsidP="005233F6">
                  <w:pPr>
                    <w:framePr w:hSpace="180" w:wrap="around" w:vAnchor="text" w:hAnchor="margin" w:y="-177"/>
                    <w:rPr>
                      <w:rFonts w:cs="Arial"/>
                      <w:color w:val="141313"/>
                      <w:sz w:val="16"/>
                      <w:szCs w:val="16"/>
                    </w:rPr>
                  </w:pPr>
                  <w:r>
                    <w:rPr>
                      <w:rFonts w:cs="Arial"/>
                      <w:color w:val="141313"/>
                      <w:sz w:val="16"/>
                      <w:szCs w:val="16"/>
                    </w:rPr>
                    <w:t>Chevron</w:t>
                  </w:r>
                </w:p>
              </w:tc>
            </w:tr>
            <w:tr w:rsidR="005233F6" w:rsidRPr="00706EB3" w:rsidTr="007836D7">
              <w:trPr>
                <w:cnfStyle w:val="000000100000"/>
                <w:trHeight w:val="216"/>
              </w:trPr>
              <w:tc>
                <w:tcPr>
                  <w:tcW w:w="1345" w:type="dxa"/>
                  <w:vMerge/>
                  <w:noWrap/>
                  <w:vAlign w:val="center"/>
                  <w:hideMark/>
                </w:tcPr>
                <w:p w:rsidR="005233F6" w:rsidRDefault="005233F6" w:rsidP="005233F6">
                  <w:pPr>
                    <w:framePr w:hSpace="180" w:wrap="around" w:vAnchor="text" w:hAnchor="margin" w:y="-177"/>
                    <w:rPr>
                      <w:rFonts w:cs="Arial"/>
                      <w:color w:val="141313"/>
                      <w:sz w:val="16"/>
                      <w:szCs w:val="16"/>
                    </w:rPr>
                  </w:pPr>
                </w:p>
              </w:tc>
              <w:tc>
                <w:tcPr>
                  <w:tcW w:w="1345" w:type="dxa"/>
                  <w:gridSpan w:val="2"/>
                  <w:vAlign w:val="center"/>
                </w:tcPr>
                <w:p w:rsidR="005233F6" w:rsidRDefault="005233F6" w:rsidP="005233F6">
                  <w:pPr>
                    <w:framePr w:hSpace="180" w:wrap="around" w:vAnchor="text" w:hAnchor="margin" w:y="-177"/>
                    <w:rPr>
                      <w:rFonts w:cs="Arial"/>
                      <w:sz w:val="16"/>
                      <w:szCs w:val="16"/>
                    </w:rPr>
                  </w:pPr>
                  <w:r>
                    <w:rPr>
                      <w:rFonts w:cs="Arial"/>
                      <w:sz w:val="16"/>
                      <w:szCs w:val="16"/>
                    </w:rPr>
                    <w:t>T2</w:t>
                  </w:r>
                </w:p>
              </w:tc>
              <w:tc>
                <w:tcPr>
                  <w:tcW w:w="90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5</w:t>
                  </w:r>
                </w:p>
              </w:tc>
              <w:tc>
                <w:tcPr>
                  <w:tcW w:w="189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Pre-FID</w:t>
                  </w:r>
                </w:p>
              </w:tc>
              <w:tc>
                <w:tcPr>
                  <w:tcW w:w="171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N/A</w:t>
                  </w:r>
                </w:p>
              </w:tc>
              <w:tc>
                <w:tcPr>
                  <w:tcW w:w="3060" w:type="dxa"/>
                  <w:vMerge/>
                  <w:vAlign w:val="center"/>
                  <w:hideMark/>
                </w:tcPr>
                <w:p w:rsidR="005233F6" w:rsidRDefault="005233F6" w:rsidP="005233F6">
                  <w:pPr>
                    <w:framePr w:hSpace="180" w:wrap="around" w:vAnchor="text" w:hAnchor="margin" w:y="-177"/>
                    <w:rPr>
                      <w:rFonts w:cs="Arial"/>
                      <w:color w:val="141313"/>
                      <w:sz w:val="16"/>
                      <w:szCs w:val="16"/>
                    </w:rPr>
                  </w:pPr>
                </w:p>
              </w:tc>
            </w:tr>
            <w:tr w:rsidR="005233F6" w:rsidRPr="00706EB3" w:rsidTr="007836D7">
              <w:trPr>
                <w:cnfStyle w:val="000000010000"/>
                <w:trHeight w:val="216"/>
              </w:trPr>
              <w:tc>
                <w:tcPr>
                  <w:tcW w:w="2690" w:type="dxa"/>
                  <w:gridSpan w:val="3"/>
                  <w:noWrap/>
                  <w:vAlign w:val="center"/>
                  <w:hideMark/>
                </w:tcPr>
                <w:p w:rsidR="005233F6" w:rsidRPr="00005D8E" w:rsidRDefault="005233F6" w:rsidP="005233F6">
                  <w:pPr>
                    <w:framePr w:hSpace="180" w:wrap="around" w:vAnchor="text" w:hAnchor="margin" w:y="-177"/>
                    <w:widowControl/>
                    <w:rPr>
                      <w:rFonts w:eastAsia="Times New Roman" w:cs="Arial"/>
                      <w:bCs/>
                      <w:color w:val="141313"/>
                      <w:sz w:val="16"/>
                      <w:szCs w:val="16"/>
                      <w:lang w:eastAsia="en-US"/>
                    </w:rPr>
                  </w:pPr>
                  <w:r w:rsidRPr="00005D8E">
                    <w:rPr>
                      <w:rFonts w:eastAsia="Times New Roman" w:cs="Arial"/>
                      <w:bCs/>
                      <w:color w:val="141313"/>
                      <w:sz w:val="16"/>
                      <w:szCs w:val="16"/>
                      <w:lang w:eastAsia="en-US"/>
                    </w:rPr>
                    <w:t>Pacific Northwest LNG T1-2</w:t>
                  </w:r>
                </w:p>
              </w:tc>
              <w:tc>
                <w:tcPr>
                  <w:tcW w:w="90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12</w:t>
                  </w:r>
                </w:p>
              </w:tc>
              <w:tc>
                <w:tcPr>
                  <w:tcW w:w="189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2018</w:t>
                  </w:r>
                </w:p>
              </w:tc>
              <w:tc>
                <w:tcPr>
                  <w:tcW w:w="3060" w:type="dxa"/>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6"/>
                      <w:lang w:eastAsia="en-US"/>
                    </w:rPr>
                  </w:pPr>
                  <w:r>
                    <w:rPr>
                      <w:rFonts w:eastAsia="Times New Roman" w:cs="Arial"/>
                      <w:color w:val="141313"/>
                      <w:sz w:val="16"/>
                      <w:szCs w:val="16"/>
                      <w:lang w:eastAsia="en-US"/>
                    </w:rPr>
                    <w:t>Progress Energy (</w:t>
                  </w:r>
                  <w:r w:rsidRPr="00912DBB">
                    <w:rPr>
                      <w:rFonts w:eastAsia="Times New Roman" w:cs="Arial"/>
                      <w:color w:val="141313"/>
                      <w:sz w:val="16"/>
                      <w:szCs w:val="16"/>
                      <w:lang w:eastAsia="en-US"/>
                    </w:rPr>
                    <w:t>PETRONAS</w:t>
                  </w:r>
                  <w:r>
                    <w:rPr>
                      <w:rFonts w:eastAsia="Times New Roman" w:cs="Arial"/>
                      <w:color w:val="141313"/>
                      <w:sz w:val="16"/>
                      <w:szCs w:val="16"/>
                      <w:lang w:eastAsia="en-US"/>
                    </w:rPr>
                    <w:t>)</w:t>
                  </w:r>
                </w:p>
              </w:tc>
            </w:tr>
            <w:tr w:rsidR="005233F6" w:rsidRPr="00706EB3" w:rsidTr="007836D7">
              <w:trPr>
                <w:cnfStyle w:val="000000100000"/>
                <w:trHeight w:val="216"/>
              </w:trPr>
              <w:tc>
                <w:tcPr>
                  <w:tcW w:w="2690" w:type="dxa"/>
                  <w:gridSpan w:val="3"/>
                  <w:noWrap/>
                  <w:vAlign w:val="center"/>
                  <w:hideMark/>
                </w:tcPr>
                <w:p w:rsidR="005233F6" w:rsidRPr="00005D8E" w:rsidRDefault="005233F6" w:rsidP="005233F6">
                  <w:pPr>
                    <w:framePr w:hSpace="180" w:wrap="around" w:vAnchor="text" w:hAnchor="margin" w:y="-177"/>
                    <w:widowControl/>
                    <w:rPr>
                      <w:rFonts w:eastAsia="Times New Roman" w:cs="Arial"/>
                      <w:bCs/>
                      <w:color w:val="141313"/>
                      <w:sz w:val="16"/>
                      <w:szCs w:val="16"/>
                      <w:lang w:eastAsia="en-US"/>
                    </w:rPr>
                  </w:pPr>
                  <w:r w:rsidRPr="00005D8E">
                    <w:rPr>
                      <w:rFonts w:eastAsia="Times New Roman" w:cs="Arial"/>
                      <w:bCs/>
                      <w:color w:val="141313"/>
                      <w:sz w:val="16"/>
                      <w:szCs w:val="16"/>
                      <w:lang w:eastAsia="en-US"/>
                    </w:rPr>
                    <w:t xml:space="preserve">Western Canada LNG </w:t>
                  </w:r>
                </w:p>
              </w:tc>
              <w:tc>
                <w:tcPr>
                  <w:tcW w:w="90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2</w:t>
                  </w:r>
                </w:p>
              </w:tc>
              <w:tc>
                <w:tcPr>
                  <w:tcW w:w="189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2017</w:t>
                  </w:r>
                </w:p>
              </w:tc>
              <w:tc>
                <w:tcPr>
                  <w:tcW w:w="3060" w:type="dxa"/>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6"/>
                      <w:highlight w:val="magenta"/>
                      <w:lang w:eastAsia="en-US"/>
                    </w:rPr>
                  </w:pPr>
                  <w:proofErr w:type="spellStart"/>
                  <w:r w:rsidRPr="00005D8E">
                    <w:rPr>
                      <w:rFonts w:eastAsia="Times New Roman" w:cs="Arial"/>
                      <w:color w:val="141313"/>
                      <w:sz w:val="16"/>
                      <w:szCs w:val="16"/>
                      <w:lang w:eastAsia="en-US"/>
                    </w:rPr>
                    <w:t>Altagas</w:t>
                  </w:r>
                  <w:proofErr w:type="spellEnd"/>
                  <w:r>
                    <w:rPr>
                      <w:rFonts w:eastAsia="Times New Roman" w:cs="Arial"/>
                      <w:color w:val="141313"/>
                      <w:sz w:val="16"/>
                      <w:szCs w:val="16"/>
                      <w:lang w:eastAsia="en-US"/>
                    </w:rPr>
                    <w:t xml:space="preserve"> (Assumed)</w:t>
                  </w:r>
                </w:p>
              </w:tc>
            </w:tr>
            <w:tr w:rsidR="005233F6" w:rsidRPr="00706EB3" w:rsidTr="007836D7">
              <w:trPr>
                <w:cnfStyle w:val="000000010000"/>
                <w:trHeight w:val="216"/>
              </w:trPr>
              <w:tc>
                <w:tcPr>
                  <w:tcW w:w="2690" w:type="dxa"/>
                  <w:gridSpan w:val="3"/>
                  <w:noWrap/>
                  <w:vAlign w:val="center"/>
                  <w:hideMark/>
                </w:tcPr>
                <w:p w:rsidR="005233F6" w:rsidRPr="00005D8E" w:rsidRDefault="005233F6" w:rsidP="005233F6">
                  <w:pPr>
                    <w:framePr w:hSpace="180" w:wrap="around" w:vAnchor="text" w:hAnchor="margin" w:y="-177"/>
                    <w:widowControl/>
                    <w:rPr>
                      <w:rFonts w:eastAsia="Times New Roman" w:cs="Arial"/>
                      <w:bCs/>
                      <w:color w:val="141313"/>
                      <w:sz w:val="16"/>
                      <w:szCs w:val="16"/>
                      <w:lang w:eastAsia="en-US"/>
                    </w:rPr>
                  </w:pPr>
                  <w:r w:rsidRPr="00005D8E">
                    <w:rPr>
                      <w:rFonts w:eastAsia="Times New Roman" w:cs="Arial"/>
                      <w:bCs/>
                      <w:color w:val="141313"/>
                      <w:sz w:val="16"/>
                      <w:szCs w:val="16"/>
                      <w:lang w:eastAsia="en-US"/>
                    </w:rPr>
                    <w:t>Prince Rupert LNG T1-3</w:t>
                  </w:r>
                </w:p>
              </w:tc>
              <w:tc>
                <w:tcPr>
                  <w:tcW w:w="90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N/A</w:t>
                  </w:r>
                </w:p>
              </w:tc>
              <w:tc>
                <w:tcPr>
                  <w:tcW w:w="189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2019, 2020</w:t>
                  </w:r>
                </w:p>
              </w:tc>
              <w:tc>
                <w:tcPr>
                  <w:tcW w:w="3060" w:type="dxa"/>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6"/>
                      <w:lang w:eastAsia="en-US"/>
                    </w:rPr>
                  </w:pPr>
                  <w:r w:rsidRPr="00912DBB">
                    <w:rPr>
                      <w:rFonts w:eastAsia="Times New Roman" w:cs="Arial"/>
                      <w:color w:val="141313"/>
                      <w:sz w:val="16"/>
                      <w:szCs w:val="16"/>
                      <w:lang w:eastAsia="en-US"/>
                    </w:rPr>
                    <w:t>BG</w:t>
                  </w:r>
                  <w:r>
                    <w:rPr>
                      <w:rFonts w:eastAsia="Times New Roman" w:cs="Arial"/>
                      <w:color w:val="141313"/>
                      <w:sz w:val="16"/>
                      <w:szCs w:val="16"/>
                      <w:lang w:eastAsia="en-US"/>
                    </w:rPr>
                    <w:t xml:space="preserve"> Group</w:t>
                  </w:r>
                </w:p>
              </w:tc>
            </w:tr>
            <w:tr w:rsidR="005233F6" w:rsidRPr="00706EB3" w:rsidTr="007836D7">
              <w:trPr>
                <w:cnfStyle w:val="000000100000"/>
                <w:trHeight w:val="216"/>
              </w:trPr>
              <w:tc>
                <w:tcPr>
                  <w:tcW w:w="2690" w:type="dxa"/>
                  <w:gridSpan w:val="3"/>
                  <w:noWrap/>
                  <w:vAlign w:val="center"/>
                  <w:hideMark/>
                </w:tcPr>
                <w:p w:rsidR="005233F6" w:rsidRPr="00005D8E" w:rsidRDefault="005233F6" w:rsidP="005233F6">
                  <w:pPr>
                    <w:framePr w:hSpace="180" w:wrap="around" w:vAnchor="text" w:hAnchor="margin" w:y="-177"/>
                    <w:widowControl/>
                    <w:rPr>
                      <w:rFonts w:eastAsia="Times New Roman" w:cs="Arial"/>
                      <w:sz w:val="16"/>
                      <w:szCs w:val="16"/>
                      <w:lang w:eastAsia="en-US"/>
                    </w:rPr>
                  </w:pPr>
                  <w:r w:rsidRPr="00005D8E">
                    <w:rPr>
                      <w:rFonts w:eastAsia="Times New Roman" w:cs="Arial"/>
                      <w:bCs/>
                      <w:color w:val="141313"/>
                      <w:sz w:val="16"/>
                      <w:szCs w:val="16"/>
                      <w:lang w:eastAsia="en-US"/>
                    </w:rPr>
                    <w:t>BC LNG T1-2</w:t>
                  </w:r>
                </w:p>
              </w:tc>
              <w:tc>
                <w:tcPr>
                  <w:tcW w:w="90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1.8</w:t>
                  </w:r>
                </w:p>
              </w:tc>
              <w:tc>
                <w:tcPr>
                  <w:tcW w:w="189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8"/>
                      <w:lang w:eastAsia="en-US"/>
                    </w:rPr>
                  </w:pPr>
                  <w:r>
                    <w:rPr>
                      <w:rFonts w:eastAsia="Times New Roman" w:cs="Arial"/>
                      <w:color w:val="141313"/>
                      <w:sz w:val="16"/>
                      <w:szCs w:val="18"/>
                      <w:lang w:eastAsia="en-US"/>
                    </w:rPr>
                    <w:t>Pre-FID</w:t>
                  </w:r>
                </w:p>
              </w:tc>
              <w:tc>
                <w:tcPr>
                  <w:tcW w:w="1710" w:type="dxa"/>
                  <w:noWrap/>
                  <w:vAlign w:val="center"/>
                  <w:hideMark/>
                </w:tcPr>
                <w:p w:rsidR="005233F6" w:rsidRPr="00912DBB" w:rsidRDefault="005233F6" w:rsidP="005233F6">
                  <w:pPr>
                    <w:framePr w:hSpace="180" w:wrap="around" w:vAnchor="text" w:hAnchor="margin" w:y="-177"/>
                    <w:widowControl/>
                    <w:jc w:val="center"/>
                    <w:rPr>
                      <w:rFonts w:eastAsia="Times New Roman" w:cs="Arial"/>
                      <w:color w:val="141313"/>
                      <w:sz w:val="16"/>
                      <w:szCs w:val="16"/>
                      <w:lang w:eastAsia="en-US"/>
                    </w:rPr>
                  </w:pPr>
                  <w:r w:rsidRPr="00912DBB">
                    <w:rPr>
                      <w:rFonts w:eastAsia="Times New Roman" w:cs="Arial"/>
                      <w:color w:val="141313"/>
                      <w:sz w:val="16"/>
                      <w:szCs w:val="16"/>
                      <w:lang w:eastAsia="en-US"/>
                    </w:rPr>
                    <w:t>2015, 2016</w:t>
                  </w:r>
                </w:p>
              </w:tc>
              <w:tc>
                <w:tcPr>
                  <w:tcW w:w="3060" w:type="dxa"/>
                  <w:vAlign w:val="center"/>
                  <w:hideMark/>
                </w:tcPr>
                <w:p w:rsidR="005233F6" w:rsidRPr="00912DBB" w:rsidRDefault="005233F6" w:rsidP="005233F6">
                  <w:pPr>
                    <w:framePr w:hSpace="180" w:wrap="around" w:vAnchor="text" w:hAnchor="margin" w:y="-177"/>
                    <w:widowControl/>
                    <w:rPr>
                      <w:rFonts w:eastAsia="Times New Roman" w:cs="Arial"/>
                      <w:color w:val="141313"/>
                      <w:sz w:val="16"/>
                      <w:szCs w:val="16"/>
                      <w:lang w:eastAsia="en-US"/>
                    </w:rPr>
                  </w:pPr>
                  <w:r>
                    <w:rPr>
                      <w:rFonts w:eastAsia="Times New Roman" w:cs="Arial"/>
                      <w:color w:val="141313"/>
                      <w:sz w:val="16"/>
                      <w:szCs w:val="16"/>
                      <w:lang w:eastAsia="en-US"/>
                    </w:rPr>
                    <w:t>BC LNG Export Co-Operative</w:t>
                  </w:r>
                </w:p>
              </w:tc>
            </w:tr>
            <w:tr w:rsidR="005233F6" w:rsidRPr="00706EB3" w:rsidTr="007836D7">
              <w:trPr>
                <w:cnfStyle w:val="000000010000"/>
                <w:trHeight w:val="216"/>
              </w:trPr>
              <w:tc>
                <w:tcPr>
                  <w:tcW w:w="2690" w:type="dxa"/>
                  <w:gridSpan w:val="3"/>
                  <w:noWrap/>
                  <w:vAlign w:val="center"/>
                  <w:hideMark/>
                </w:tcPr>
                <w:p w:rsidR="005233F6" w:rsidRDefault="005233F6" w:rsidP="005233F6">
                  <w:pPr>
                    <w:framePr w:hSpace="180" w:wrap="around" w:vAnchor="text" w:hAnchor="margin" w:y="-177"/>
                    <w:rPr>
                      <w:rFonts w:cs="Arial"/>
                      <w:color w:val="141313"/>
                      <w:sz w:val="16"/>
                      <w:szCs w:val="16"/>
                    </w:rPr>
                  </w:pPr>
                  <w:proofErr w:type="spellStart"/>
                  <w:r>
                    <w:rPr>
                      <w:rFonts w:cs="Arial"/>
                      <w:color w:val="141313"/>
                      <w:sz w:val="16"/>
                      <w:szCs w:val="16"/>
                    </w:rPr>
                    <w:t>Goldboro</w:t>
                  </w:r>
                  <w:proofErr w:type="spellEnd"/>
                  <w:r>
                    <w:rPr>
                      <w:rFonts w:cs="Arial"/>
                      <w:color w:val="141313"/>
                      <w:sz w:val="16"/>
                      <w:szCs w:val="16"/>
                    </w:rPr>
                    <w:t xml:space="preserve"> LNG</w:t>
                  </w:r>
                </w:p>
              </w:tc>
              <w:tc>
                <w:tcPr>
                  <w:tcW w:w="90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5</w:t>
                  </w:r>
                </w:p>
              </w:tc>
              <w:tc>
                <w:tcPr>
                  <w:tcW w:w="189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Pre-FID</w:t>
                  </w:r>
                </w:p>
              </w:tc>
              <w:tc>
                <w:tcPr>
                  <w:tcW w:w="171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2018</w:t>
                  </w:r>
                </w:p>
              </w:tc>
              <w:tc>
                <w:tcPr>
                  <w:tcW w:w="3060" w:type="dxa"/>
                  <w:vAlign w:val="center"/>
                  <w:hideMark/>
                </w:tcPr>
                <w:p w:rsidR="005233F6" w:rsidRDefault="005233F6" w:rsidP="005233F6">
                  <w:pPr>
                    <w:framePr w:hSpace="180" w:wrap="around" w:vAnchor="text" w:hAnchor="margin" w:y="-177"/>
                    <w:rPr>
                      <w:rFonts w:cs="Arial"/>
                      <w:color w:val="141313"/>
                      <w:sz w:val="16"/>
                      <w:szCs w:val="16"/>
                    </w:rPr>
                  </w:pPr>
                  <w:proofErr w:type="spellStart"/>
                  <w:r>
                    <w:rPr>
                      <w:rFonts w:cs="Arial"/>
                      <w:color w:val="141313"/>
                      <w:sz w:val="16"/>
                      <w:szCs w:val="16"/>
                    </w:rPr>
                    <w:t>Pierdae</w:t>
                  </w:r>
                  <w:proofErr w:type="spellEnd"/>
                  <w:r>
                    <w:rPr>
                      <w:rFonts w:cs="Arial"/>
                      <w:color w:val="141313"/>
                      <w:sz w:val="16"/>
                      <w:szCs w:val="16"/>
                    </w:rPr>
                    <w:t xml:space="preserve"> Energy</w:t>
                  </w:r>
                </w:p>
              </w:tc>
            </w:tr>
            <w:tr w:rsidR="005233F6" w:rsidRPr="00706EB3" w:rsidTr="007836D7">
              <w:trPr>
                <w:cnfStyle w:val="000000100000"/>
                <w:trHeight w:val="216"/>
              </w:trPr>
              <w:tc>
                <w:tcPr>
                  <w:tcW w:w="2690" w:type="dxa"/>
                  <w:gridSpan w:val="3"/>
                  <w:noWrap/>
                  <w:vAlign w:val="center"/>
                  <w:hideMark/>
                </w:tcPr>
                <w:p w:rsidR="005233F6" w:rsidRDefault="005233F6" w:rsidP="005233F6">
                  <w:pPr>
                    <w:framePr w:hSpace="180" w:wrap="around" w:vAnchor="text" w:hAnchor="margin" w:y="-177"/>
                    <w:rPr>
                      <w:rFonts w:cs="Arial"/>
                      <w:color w:val="141313"/>
                      <w:sz w:val="16"/>
                      <w:szCs w:val="16"/>
                    </w:rPr>
                  </w:pPr>
                  <w:r>
                    <w:rPr>
                      <w:rFonts w:cs="Arial"/>
                      <w:color w:val="141313"/>
                      <w:sz w:val="16"/>
                      <w:szCs w:val="16"/>
                    </w:rPr>
                    <w:t>Nova Scotia LNG</w:t>
                  </w:r>
                </w:p>
              </w:tc>
              <w:tc>
                <w:tcPr>
                  <w:tcW w:w="90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11</w:t>
                  </w:r>
                </w:p>
              </w:tc>
              <w:tc>
                <w:tcPr>
                  <w:tcW w:w="189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Pre-FID</w:t>
                  </w:r>
                </w:p>
              </w:tc>
              <w:tc>
                <w:tcPr>
                  <w:tcW w:w="1710" w:type="dxa"/>
                  <w:noWrap/>
                  <w:vAlign w:val="bottom"/>
                  <w:hideMark/>
                </w:tcPr>
                <w:p w:rsidR="005233F6" w:rsidRDefault="005233F6" w:rsidP="005233F6">
                  <w:pPr>
                    <w:framePr w:hSpace="180" w:wrap="around" w:vAnchor="text" w:hAnchor="margin" w:y="-177"/>
                    <w:jc w:val="center"/>
                    <w:rPr>
                      <w:rFonts w:cs="Arial"/>
                      <w:color w:val="141313"/>
                      <w:sz w:val="16"/>
                      <w:szCs w:val="16"/>
                    </w:rPr>
                  </w:pPr>
                  <w:r>
                    <w:rPr>
                      <w:rFonts w:cs="Arial"/>
                      <w:color w:val="141313"/>
                      <w:sz w:val="16"/>
                      <w:szCs w:val="16"/>
                    </w:rPr>
                    <w:t>2020</w:t>
                  </w:r>
                </w:p>
              </w:tc>
              <w:tc>
                <w:tcPr>
                  <w:tcW w:w="3060" w:type="dxa"/>
                  <w:vAlign w:val="center"/>
                  <w:hideMark/>
                </w:tcPr>
                <w:p w:rsidR="005233F6" w:rsidRDefault="005233F6" w:rsidP="005233F6">
                  <w:pPr>
                    <w:framePr w:hSpace="180" w:wrap="around" w:vAnchor="text" w:hAnchor="margin" w:y="-177"/>
                    <w:rPr>
                      <w:rFonts w:cs="Arial"/>
                      <w:color w:val="141313"/>
                      <w:sz w:val="16"/>
                      <w:szCs w:val="16"/>
                    </w:rPr>
                  </w:pPr>
                  <w:r>
                    <w:rPr>
                      <w:rFonts w:cs="Arial"/>
                      <w:color w:val="141313"/>
                      <w:sz w:val="16"/>
                      <w:szCs w:val="16"/>
                    </w:rPr>
                    <w:t>H-Energy</w:t>
                  </w:r>
                </w:p>
              </w:tc>
            </w:tr>
          </w:tbl>
          <w:p w:rsidR="00733532" w:rsidRPr="009C3813" w:rsidRDefault="00733532" w:rsidP="007836D7">
            <w:pPr>
              <w:pStyle w:val="PFCBulletedText2"/>
              <w:spacing w:before="120" w:after="0"/>
              <w:ind w:left="0" w:firstLine="0"/>
              <w:jc w:val="left"/>
              <w:rPr>
                <w:b/>
                <w:sz w:val="18"/>
                <w:szCs w:val="18"/>
              </w:rPr>
            </w:pPr>
            <w:r>
              <w:rPr>
                <w:b/>
                <w:sz w:val="18"/>
                <w:szCs w:val="18"/>
              </w:rPr>
              <w:t xml:space="preserve">Table </w:t>
            </w:r>
            <w:r w:rsidR="00E35536">
              <w:rPr>
                <w:b/>
                <w:sz w:val="18"/>
                <w:szCs w:val="18"/>
              </w:rPr>
              <w:t>7</w:t>
            </w:r>
            <w:r w:rsidR="004C2905">
              <w:rPr>
                <w:b/>
                <w:sz w:val="18"/>
                <w:szCs w:val="18"/>
              </w:rPr>
              <w:t>.</w:t>
            </w:r>
            <w:r>
              <w:rPr>
                <w:b/>
                <w:sz w:val="18"/>
                <w:szCs w:val="18"/>
              </w:rPr>
              <w:t>1</w:t>
            </w:r>
            <w:r w:rsidRPr="009C3813">
              <w:rPr>
                <w:b/>
                <w:sz w:val="18"/>
                <w:szCs w:val="18"/>
              </w:rPr>
              <w:t xml:space="preserve">: </w:t>
            </w:r>
            <w:r>
              <w:rPr>
                <w:b/>
                <w:color w:val="141313" w:themeColor="text1"/>
                <w:sz w:val="18"/>
                <w:szCs w:val="18"/>
                <w:lang w:val="en-GB"/>
              </w:rPr>
              <w:t>Proposed Liquefaction Projects in the US Lower 48 and Canada, as of May 2013</w:t>
            </w:r>
          </w:p>
          <w:p w:rsidR="00733532" w:rsidRPr="00494081" w:rsidRDefault="00733532" w:rsidP="007836D7">
            <w:pPr>
              <w:pStyle w:val="PFCBulletedText2"/>
              <w:ind w:left="0" w:firstLine="0"/>
              <w:jc w:val="left"/>
              <w:rPr>
                <w:sz w:val="16"/>
                <w:szCs w:val="16"/>
              </w:rPr>
            </w:pPr>
            <w:r>
              <w:rPr>
                <w:i/>
                <w:sz w:val="16"/>
                <w:szCs w:val="16"/>
              </w:rPr>
              <w:t xml:space="preserve">* Denotes existing regasification </w:t>
            </w:r>
            <w:r w:rsidRPr="00F75D38">
              <w:rPr>
                <w:i/>
                <w:sz w:val="16"/>
                <w:szCs w:val="16"/>
              </w:rPr>
              <w:t>terminal. Projects are listed in the order in which they applied to FERC, followed by the order in which they applied to export to FTA countries at the DOE. Source: PFC Energy Global LNG Service, Company Announcements</w:t>
            </w:r>
          </w:p>
        </w:tc>
      </w:tr>
    </w:tbl>
    <w:p w:rsidR="00733532" w:rsidRPr="007C35B1" w:rsidRDefault="00733532" w:rsidP="00733532">
      <w:pPr>
        <w:spacing w:line="252" w:lineRule="auto"/>
        <w:ind w:left="180"/>
        <w:jc w:val="both"/>
        <w:rPr>
          <w:color w:val="141313" w:themeColor="text1"/>
          <w:sz w:val="18"/>
          <w:lang w:val="en-GB"/>
        </w:rPr>
      </w:pPr>
    </w:p>
    <w:p w:rsidR="00733532" w:rsidRPr="007C35B1" w:rsidRDefault="00733532" w:rsidP="00733532">
      <w:pPr>
        <w:spacing w:line="252" w:lineRule="auto"/>
        <w:ind w:left="180"/>
        <w:jc w:val="both"/>
        <w:rPr>
          <w:color w:val="141313" w:themeColor="text1"/>
          <w:sz w:val="18"/>
          <w:lang w:val="en-GB"/>
        </w:rPr>
      </w:pPr>
      <w:r w:rsidRPr="007C35B1">
        <w:rPr>
          <w:color w:val="141313" w:themeColor="text1"/>
          <w:sz w:val="18"/>
          <w:lang w:val="en-GB"/>
        </w:rPr>
        <w:t>There are also several country-specific issues that have also led to the large number of export proposals. In the United States, extensive existing infrastructure makes the economics of many US projects attractive, and for many companies, liquefaction facilities offer a chance to achieve returns on their existing regasification investments, which in some cases are devoid of activity.  After the success of shale production in the United States, several companies have turned their attention to potential shale resources in Western Canada, hoping to replicate the production success in a frontier ma</w:t>
      </w:r>
      <w:r w:rsidR="00E35536">
        <w:rPr>
          <w:color w:val="141313" w:themeColor="text1"/>
          <w:sz w:val="18"/>
          <w:lang w:val="en-GB"/>
        </w:rPr>
        <w:t xml:space="preserve">rket less burdened by </w:t>
      </w:r>
      <w:proofErr w:type="gramStart"/>
      <w:r w:rsidR="00E35536">
        <w:rPr>
          <w:color w:val="141313" w:themeColor="text1"/>
          <w:sz w:val="18"/>
          <w:lang w:val="en-GB"/>
        </w:rPr>
        <w:t xml:space="preserve">extensive </w:t>
      </w:r>
      <w:r w:rsidR="00E35536" w:rsidRPr="00E35536">
        <w:rPr>
          <w:color w:val="FFFFFF" w:themeColor="background1"/>
          <w:sz w:val="18"/>
          <w:lang w:val="en-GB"/>
        </w:rPr>
        <w:t>.</w:t>
      </w:r>
      <w:proofErr w:type="gramEnd"/>
      <w:r w:rsidR="00E35536" w:rsidRPr="00E35536">
        <w:rPr>
          <w:color w:val="FFFFFF" w:themeColor="background1"/>
          <w:sz w:val="18"/>
          <w:lang w:val="en-GB"/>
        </w:rPr>
        <w:t xml:space="preserve"> </w:t>
      </w:r>
      <w:proofErr w:type="gramStart"/>
      <w:r w:rsidRPr="007C35B1">
        <w:rPr>
          <w:color w:val="141313" w:themeColor="text1"/>
          <w:sz w:val="18"/>
          <w:lang w:val="en-GB"/>
        </w:rPr>
        <w:t>political</w:t>
      </w:r>
      <w:proofErr w:type="gramEnd"/>
      <w:r w:rsidRPr="007C35B1">
        <w:rPr>
          <w:color w:val="141313" w:themeColor="text1"/>
          <w:sz w:val="18"/>
          <w:lang w:val="en-GB"/>
        </w:rPr>
        <w:t xml:space="preserve"> debate. Further, projects on the Pacific coast would be advantageously positioned closer to LNG end markets.</w:t>
      </w:r>
    </w:p>
    <w:p w:rsidR="00733532" w:rsidRDefault="00645870" w:rsidP="00645870">
      <w:pPr>
        <w:pStyle w:val="Titre2"/>
        <w:ind w:left="180"/>
        <w:rPr>
          <w:lang w:val="en-GB"/>
        </w:rPr>
      </w:pPr>
      <w:bookmarkStart w:id="41" w:name="_Toc360628262"/>
      <w:r>
        <w:rPr>
          <w:lang w:val="en-GB"/>
        </w:rPr>
        <w:t>7</w:t>
      </w:r>
      <w:r w:rsidR="00733532">
        <w:rPr>
          <w:lang w:val="en-GB"/>
        </w:rPr>
        <w:t>.2</w:t>
      </w:r>
      <w:r w:rsidR="00733532" w:rsidRPr="00564DBB">
        <w:rPr>
          <w:lang w:val="en-GB"/>
        </w:rPr>
        <w:t xml:space="preserve">. </w:t>
      </w:r>
      <w:r w:rsidR="00733532" w:rsidRPr="007C35B1">
        <w:rPr>
          <w:lang w:val="en-GB"/>
        </w:rPr>
        <w:t>PROPOSED LIQUEFACTION PROJECTS IN THE UNITED STATES AND CANADA</w:t>
      </w:r>
      <w:bookmarkEnd w:id="41"/>
    </w:p>
    <w:p w:rsidR="00733532" w:rsidRPr="007C35B1" w:rsidRDefault="00733532" w:rsidP="00733532">
      <w:pPr>
        <w:spacing w:line="252" w:lineRule="auto"/>
        <w:ind w:left="180"/>
        <w:jc w:val="both"/>
        <w:rPr>
          <w:color w:val="141313" w:themeColor="text1"/>
          <w:sz w:val="18"/>
          <w:lang w:val="en-GB"/>
        </w:rPr>
      </w:pPr>
    </w:p>
    <w:p w:rsidR="001B55B3" w:rsidRPr="007C35B1" w:rsidRDefault="00733532" w:rsidP="00733532">
      <w:pPr>
        <w:spacing w:line="252" w:lineRule="auto"/>
        <w:ind w:left="180"/>
        <w:jc w:val="both"/>
        <w:rPr>
          <w:color w:val="141313" w:themeColor="text1"/>
          <w:sz w:val="18"/>
          <w:lang w:val="en-GB"/>
        </w:rPr>
      </w:pPr>
      <w:r w:rsidRPr="007C35B1">
        <w:rPr>
          <w:color w:val="141313" w:themeColor="text1"/>
          <w:sz w:val="18"/>
          <w:lang w:val="en-GB"/>
        </w:rPr>
        <w:t xml:space="preserve">As of </w:t>
      </w:r>
      <w:r>
        <w:rPr>
          <w:color w:val="141313" w:themeColor="text1"/>
          <w:sz w:val="18"/>
          <w:lang w:val="en-GB"/>
        </w:rPr>
        <w:t>May</w:t>
      </w:r>
      <w:r w:rsidR="005233F6">
        <w:rPr>
          <w:color w:val="141313" w:themeColor="text1"/>
          <w:sz w:val="18"/>
          <w:lang w:val="en-GB"/>
        </w:rPr>
        <w:t xml:space="preserve"> 2013, 20</w:t>
      </w:r>
      <w:r w:rsidRPr="007C35B1">
        <w:rPr>
          <w:color w:val="141313" w:themeColor="text1"/>
          <w:sz w:val="18"/>
          <w:lang w:val="en-GB"/>
        </w:rPr>
        <w:t xml:space="preserve"> new liquefaction projects had been proposed in the United States for a total of 4</w:t>
      </w:r>
      <w:r>
        <w:rPr>
          <w:color w:val="141313" w:themeColor="text1"/>
          <w:sz w:val="18"/>
          <w:lang w:val="en-GB"/>
        </w:rPr>
        <w:t>6</w:t>
      </w:r>
      <w:r w:rsidRPr="007C35B1">
        <w:rPr>
          <w:color w:val="141313" w:themeColor="text1"/>
          <w:sz w:val="18"/>
          <w:lang w:val="en-GB"/>
        </w:rPr>
        <w:t xml:space="preserve"> trains, with an average size of 4.3 mmtpa per train. The majority of these are located along the Gulf Coast, with five projects </w:t>
      </w:r>
    </w:p>
    <w:tbl>
      <w:tblPr>
        <w:tblpPr w:leftFromText="180" w:rightFromText="180" w:vertAnchor="text" w:horzAnchor="margin" w:tblpY="-2"/>
        <w:tblW w:w="10885" w:type="dxa"/>
        <w:tblLayout w:type="fixed"/>
        <w:tblLook w:val="01E0"/>
      </w:tblPr>
      <w:tblGrid>
        <w:gridCol w:w="10885"/>
      </w:tblGrid>
      <w:tr w:rsidR="001B55B3" w:rsidRPr="00A918C1" w:rsidTr="001B55B3">
        <w:trPr>
          <w:trHeight w:val="2953"/>
        </w:trPr>
        <w:tc>
          <w:tcPr>
            <w:tcW w:w="10885" w:type="dxa"/>
          </w:tcPr>
          <w:p w:rsidR="001B55B3" w:rsidRDefault="001B55B3" w:rsidP="001B55B3">
            <w:pPr>
              <w:pStyle w:val="PFCBulletedText2"/>
              <w:spacing w:before="120" w:after="0"/>
              <w:ind w:left="0" w:firstLine="0"/>
              <w:jc w:val="left"/>
              <w:rPr>
                <w:b/>
                <w:sz w:val="18"/>
                <w:szCs w:val="18"/>
              </w:rPr>
            </w:pPr>
            <w:r>
              <w:rPr>
                <w:b/>
                <w:noProof/>
                <w:sz w:val="18"/>
                <w:szCs w:val="18"/>
                <w:lang w:val="fr-FR" w:eastAsia="zh-CN"/>
              </w:rPr>
              <w:lastRenderedPageBreak/>
              <w:drawing>
                <wp:inline distT="0" distB="0" distL="0" distR="0">
                  <wp:extent cx="6702425" cy="3019425"/>
                  <wp:effectExtent l="19050" t="0" r="3175"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6702425" cy="3019425"/>
                          </a:xfrm>
                          <a:prstGeom prst="rect">
                            <a:avLst/>
                          </a:prstGeom>
                          <a:noFill/>
                          <a:ln w="9525">
                            <a:noFill/>
                            <a:miter lim="800000"/>
                            <a:headEnd/>
                            <a:tailEnd/>
                          </a:ln>
                        </pic:spPr>
                      </pic:pic>
                    </a:graphicData>
                  </a:graphic>
                </wp:inline>
              </w:drawing>
            </w:r>
          </w:p>
          <w:p w:rsidR="001B55B3" w:rsidRPr="009C3813" w:rsidRDefault="001B55B3" w:rsidP="001B55B3">
            <w:pPr>
              <w:pStyle w:val="PFCBulletedText2"/>
              <w:spacing w:before="120" w:after="0"/>
              <w:ind w:left="0" w:firstLine="0"/>
              <w:jc w:val="left"/>
              <w:rPr>
                <w:b/>
                <w:sz w:val="18"/>
                <w:szCs w:val="18"/>
              </w:rPr>
            </w:pPr>
            <w:r>
              <w:rPr>
                <w:b/>
                <w:sz w:val="18"/>
                <w:szCs w:val="18"/>
              </w:rPr>
              <w:t>Figure 7.4</w:t>
            </w:r>
            <w:r w:rsidRPr="009C3813">
              <w:rPr>
                <w:b/>
                <w:sz w:val="18"/>
                <w:szCs w:val="18"/>
              </w:rPr>
              <w:t xml:space="preserve">: </w:t>
            </w:r>
            <w:r w:rsidRPr="00AD0BCD">
              <w:rPr>
                <w:rFonts w:eastAsia="SimSun"/>
                <w:b/>
                <w:smallCaps/>
                <w:lang w:val="en-GB"/>
              </w:rPr>
              <w:t xml:space="preserve"> </w:t>
            </w:r>
            <w:r>
              <w:rPr>
                <w:b/>
                <w:color w:val="141313" w:themeColor="text1"/>
                <w:sz w:val="18"/>
                <w:szCs w:val="18"/>
                <w:lang w:val="en-GB"/>
              </w:rPr>
              <w:t>Countries with which the US Holds a Free Trade Agreement</w:t>
            </w:r>
          </w:p>
          <w:p w:rsidR="001B55B3" w:rsidRPr="00F75D38" w:rsidRDefault="001B55B3" w:rsidP="001B55B3">
            <w:pPr>
              <w:pStyle w:val="PFCBulletedText2"/>
              <w:ind w:left="0" w:firstLine="0"/>
              <w:jc w:val="left"/>
              <w:rPr>
                <w:i/>
                <w:sz w:val="16"/>
                <w:szCs w:val="16"/>
              </w:rPr>
            </w:pPr>
            <w:r w:rsidRPr="00F75D38">
              <w:rPr>
                <w:i/>
                <w:sz w:val="16"/>
                <w:szCs w:val="16"/>
              </w:rPr>
              <w:t xml:space="preserve">Note: Israel and Singapore are FTA countries with regasification capacity; Bahrain is an FTA country with no regasification capacity. </w:t>
            </w:r>
          </w:p>
          <w:p w:rsidR="001B55B3" w:rsidRPr="00494081" w:rsidRDefault="001B55B3" w:rsidP="001B55B3">
            <w:pPr>
              <w:pStyle w:val="PFCBulletedText2"/>
              <w:ind w:left="0" w:firstLine="0"/>
              <w:jc w:val="left"/>
              <w:rPr>
                <w:sz w:val="16"/>
                <w:szCs w:val="16"/>
              </w:rPr>
            </w:pPr>
            <w:r w:rsidRPr="0024517D">
              <w:rPr>
                <w:i/>
                <w:sz w:val="16"/>
                <w:szCs w:val="16"/>
              </w:rPr>
              <w:t xml:space="preserve">Source: </w:t>
            </w:r>
            <w:r>
              <w:rPr>
                <w:i/>
                <w:sz w:val="16"/>
                <w:szCs w:val="16"/>
              </w:rPr>
              <w:t>PFC Energy Global LNG Service</w:t>
            </w:r>
          </w:p>
        </w:tc>
      </w:tr>
    </w:tbl>
    <w:p w:rsidR="005233F6" w:rsidRPr="007C35B1" w:rsidRDefault="00733532" w:rsidP="00733532">
      <w:pPr>
        <w:spacing w:line="252" w:lineRule="auto"/>
        <w:ind w:left="180"/>
        <w:jc w:val="both"/>
        <w:rPr>
          <w:color w:val="141313" w:themeColor="text1"/>
          <w:sz w:val="18"/>
          <w:lang w:val="en-GB"/>
        </w:rPr>
      </w:pPr>
      <w:proofErr w:type="gramStart"/>
      <w:r w:rsidRPr="007C35B1">
        <w:rPr>
          <w:color w:val="141313" w:themeColor="text1"/>
          <w:sz w:val="18"/>
          <w:lang w:val="en-GB"/>
        </w:rPr>
        <w:t>in</w:t>
      </w:r>
      <w:proofErr w:type="gramEnd"/>
      <w:r w:rsidRPr="007C35B1">
        <w:rPr>
          <w:color w:val="141313" w:themeColor="text1"/>
          <w:sz w:val="18"/>
          <w:lang w:val="en-GB"/>
        </w:rPr>
        <w:t xml:space="preserve"> Texas and </w:t>
      </w:r>
      <w:r w:rsidR="005233F6">
        <w:rPr>
          <w:color w:val="141313" w:themeColor="text1"/>
          <w:sz w:val="18"/>
          <w:lang w:val="en-GB"/>
        </w:rPr>
        <w:t xml:space="preserve">six in </w:t>
      </w:r>
      <w:r w:rsidRPr="007C35B1">
        <w:rPr>
          <w:color w:val="141313" w:themeColor="text1"/>
          <w:sz w:val="18"/>
          <w:lang w:val="en-GB"/>
        </w:rPr>
        <w:t>Louisiana, and one at an existing import facility i</w:t>
      </w:r>
      <w:r w:rsidR="005233F6">
        <w:rPr>
          <w:color w:val="141313" w:themeColor="text1"/>
          <w:sz w:val="18"/>
          <w:lang w:val="en-GB"/>
        </w:rPr>
        <w:t xml:space="preserve">n </w:t>
      </w:r>
      <w:r w:rsidR="005233F6" w:rsidRPr="007C35B1">
        <w:rPr>
          <w:color w:val="141313" w:themeColor="text1"/>
          <w:sz w:val="18"/>
          <w:lang w:val="en-GB"/>
        </w:rPr>
        <w:t>Mississippi. Two projects have been proposed on the Atlantic Coast, at</w:t>
      </w:r>
      <w:r w:rsidR="005233F6" w:rsidRPr="005233F6">
        <w:rPr>
          <w:color w:val="141313" w:themeColor="text1"/>
          <w:sz w:val="18"/>
          <w:lang w:val="en-GB"/>
        </w:rPr>
        <w:t xml:space="preserve"> </w:t>
      </w:r>
      <w:r w:rsidR="005233F6" w:rsidRPr="007C35B1">
        <w:rPr>
          <w:color w:val="141313" w:themeColor="text1"/>
          <w:sz w:val="18"/>
          <w:lang w:val="en-GB"/>
        </w:rPr>
        <w:t>existing regasification</w:t>
      </w:r>
    </w:p>
    <w:p w:rsidR="00733532" w:rsidRDefault="00733532" w:rsidP="00733532">
      <w:pPr>
        <w:spacing w:line="252" w:lineRule="auto"/>
        <w:ind w:left="180"/>
        <w:jc w:val="both"/>
        <w:rPr>
          <w:color w:val="141313" w:themeColor="text1"/>
          <w:sz w:val="18"/>
          <w:lang w:val="en-GB"/>
        </w:rPr>
      </w:pPr>
      <w:proofErr w:type="gramStart"/>
      <w:r w:rsidRPr="007C35B1">
        <w:rPr>
          <w:color w:val="141313" w:themeColor="text1"/>
          <w:sz w:val="18"/>
          <w:lang w:val="en-GB"/>
        </w:rPr>
        <w:t>terminals</w:t>
      </w:r>
      <w:proofErr w:type="gramEnd"/>
      <w:r w:rsidRPr="007C35B1">
        <w:rPr>
          <w:color w:val="141313" w:themeColor="text1"/>
          <w:sz w:val="18"/>
          <w:lang w:val="en-GB"/>
        </w:rPr>
        <w:t xml:space="preserve"> in Maryland and Georgia, while two have been proposed on</w:t>
      </w:r>
      <w:r>
        <w:rPr>
          <w:color w:val="141313" w:themeColor="text1"/>
          <w:sz w:val="18"/>
          <w:lang w:val="en-GB"/>
        </w:rPr>
        <w:t xml:space="preserve"> </w:t>
      </w:r>
      <w:r w:rsidRPr="007C35B1">
        <w:rPr>
          <w:color w:val="141313" w:themeColor="text1"/>
          <w:sz w:val="18"/>
          <w:lang w:val="en-GB"/>
        </w:rPr>
        <w:t xml:space="preserve">the Pacific Coast at greenfield sites in Oregon. Finally, four floating projects have been proposed, all of which would </w:t>
      </w:r>
      <w:r>
        <w:rPr>
          <w:color w:val="141313" w:themeColor="text1"/>
          <w:sz w:val="18"/>
          <w:lang w:val="en-GB"/>
        </w:rPr>
        <w:t>be located in the Gulf of Mexico</w:t>
      </w:r>
      <w:r w:rsidRPr="007C35B1">
        <w:rPr>
          <w:color w:val="141313" w:themeColor="text1"/>
          <w:sz w:val="18"/>
          <w:lang w:val="en-GB"/>
        </w:rPr>
        <w:t xml:space="preserve">. </w:t>
      </w:r>
    </w:p>
    <w:p w:rsidR="00733532" w:rsidRDefault="00733532" w:rsidP="00733532">
      <w:pPr>
        <w:spacing w:line="252" w:lineRule="auto"/>
        <w:ind w:left="180"/>
        <w:jc w:val="both"/>
        <w:rPr>
          <w:color w:val="141313" w:themeColor="text1"/>
          <w:sz w:val="18"/>
          <w:lang w:val="en-GB"/>
        </w:rPr>
      </w:pPr>
    </w:p>
    <w:p w:rsidR="00733532" w:rsidRDefault="00733532" w:rsidP="00733532">
      <w:pPr>
        <w:spacing w:line="252" w:lineRule="auto"/>
        <w:ind w:left="180"/>
        <w:jc w:val="both"/>
        <w:rPr>
          <w:sz w:val="18"/>
          <w:lang w:val="en-GB"/>
        </w:rPr>
      </w:pPr>
      <w:r w:rsidRPr="008A2869">
        <w:rPr>
          <w:sz w:val="18"/>
          <w:lang w:val="en-GB"/>
        </w:rPr>
        <w:t>In Canada, six LNG export projects have been formally proposed, while two more projects will likely be proposed given recent upstream acquisitions and joint ventures by major liquefaction players and/or LNG buyers. Of the projects, three are located near the city of Kitimat on the coast of British Columbia (including one floating proposal), while two have been proposed ~50 miles northwest at Prince Rupert.</w:t>
      </w:r>
    </w:p>
    <w:p w:rsidR="00733532" w:rsidRDefault="00645870" w:rsidP="00645870">
      <w:pPr>
        <w:pStyle w:val="Titre2"/>
        <w:ind w:left="180"/>
        <w:rPr>
          <w:lang w:val="en-GB"/>
        </w:rPr>
      </w:pPr>
      <w:bookmarkStart w:id="42" w:name="_Toc360628263"/>
      <w:r>
        <w:rPr>
          <w:lang w:val="en-GB"/>
        </w:rPr>
        <w:t>7</w:t>
      </w:r>
      <w:r w:rsidR="00733532">
        <w:rPr>
          <w:lang w:val="en-GB"/>
        </w:rPr>
        <w:t>.3</w:t>
      </w:r>
      <w:r w:rsidR="00733532" w:rsidRPr="00564DBB">
        <w:rPr>
          <w:lang w:val="en-GB"/>
        </w:rPr>
        <w:t xml:space="preserve">. </w:t>
      </w:r>
      <w:r w:rsidR="00733532" w:rsidRPr="00224926">
        <w:rPr>
          <w:lang w:val="en-GB"/>
        </w:rPr>
        <w:t>POLITICAL RISKS FACING PROPOSED NORTH AMERICAN LIQUEFACTION PROJECTS</w:t>
      </w:r>
      <w:bookmarkEnd w:id="42"/>
    </w:p>
    <w:p w:rsidR="00733532" w:rsidRDefault="00733532" w:rsidP="00733532">
      <w:pPr>
        <w:spacing w:line="252" w:lineRule="auto"/>
        <w:ind w:left="180"/>
        <w:jc w:val="both"/>
        <w:rPr>
          <w:b/>
          <w:color w:val="215A99"/>
          <w:sz w:val="18"/>
          <w:lang w:val="en-GB"/>
        </w:rPr>
      </w:pPr>
    </w:p>
    <w:p w:rsidR="00733532" w:rsidRPr="00224926" w:rsidRDefault="00733532" w:rsidP="00733532">
      <w:pPr>
        <w:spacing w:line="252" w:lineRule="auto"/>
        <w:ind w:left="180"/>
        <w:jc w:val="both"/>
        <w:rPr>
          <w:sz w:val="18"/>
          <w:lang w:val="en-GB"/>
        </w:rPr>
      </w:pPr>
      <w:r w:rsidRPr="00224926">
        <w:rPr>
          <w:sz w:val="18"/>
          <w:lang w:val="en-GB"/>
        </w:rPr>
        <w:t>Projects in Canada and the United States face a varied set of political risks depending on the different political processes in the two countries. Politics thus far have so far been a bigger obstacle to proposals in the United States than in Canada.</w:t>
      </w:r>
    </w:p>
    <w:p w:rsidR="00733532" w:rsidRDefault="00733532" w:rsidP="00733532">
      <w:pPr>
        <w:spacing w:line="252" w:lineRule="auto"/>
        <w:ind w:left="180"/>
        <w:jc w:val="both"/>
        <w:rPr>
          <w:sz w:val="18"/>
          <w:lang w:val="en-GB"/>
        </w:rPr>
      </w:pPr>
    </w:p>
    <w:p w:rsidR="00733532" w:rsidRDefault="00073EEA" w:rsidP="00733532">
      <w:pPr>
        <w:spacing w:line="252" w:lineRule="auto"/>
        <w:ind w:left="180"/>
        <w:jc w:val="both"/>
        <w:rPr>
          <w:sz w:val="18"/>
          <w:lang w:val="en-GB"/>
        </w:rPr>
      </w:pPr>
      <w:r w:rsidRPr="00073EEA">
        <w:rPr>
          <w:noProof/>
          <w:sz w:val="18"/>
          <w:lang w:eastAsia="en-US"/>
        </w:rPr>
        <w:pict>
          <v:shape id="_x0000_s1076" type="#_x0000_t202" style="position:absolute;left:0;text-align:left;margin-left:385.75pt;margin-top:-145.3pt;width:131.6pt;height:54.75pt;z-index:251662336;mso-wrap-edited:f;mso-wrap-distance-left:14.4pt;mso-wrap-distance-right:14.4pt;mso-width-relative:margin;mso-height-relative:margin" wrapcoords="0 0 21600 0 21600 21600 0 21600 0 0" filled="f" stroked="f" strokecolor="silver">
            <v:fill o:detectmouseclick="t"/>
            <v:textbox style="mso-next-textbox:#_x0000_s1076" inset=".72pt,0,.72pt,0">
              <w:txbxContent>
                <w:p w:rsidR="00856114" w:rsidRPr="003A5BDA" w:rsidRDefault="00856114" w:rsidP="00733532">
                  <w:pPr>
                    <w:rPr>
                      <w:b/>
                      <w:color w:val="1B82CE" w:themeColor="accent3"/>
                      <w:sz w:val="24"/>
                    </w:rPr>
                  </w:pPr>
                  <w:r>
                    <w:rPr>
                      <w:b/>
                      <w:color w:val="1B82CE" w:themeColor="accent3"/>
                      <w:sz w:val="24"/>
                    </w:rPr>
                    <w:t>20 Total; 7 Importers</w:t>
                  </w:r>
                </w:p>
                <w:p w:rsidR="00856114" w:rsidRPr="003A5BDA" w:rsidRDefault="00856114" w:rsidP="00733532">
                  <w:pPr>
                    <w:jc w:val="both"/>
                    <w:rPr>
                      <w:i/>
                      <w:color w:val="1B82CE" w:themeColor="accent3"/>
                      <w:sz w:val="18"/>
                    </w:rPr>
                  </w:pPr>
                  <w:r>
                    <w:rPr>
                      <w:i/>
                      <w:color w:val="1B82CE" w:themeColor="accent3"/>
                      <w:sz w:val="18"/>
                    </w:rPr>
                    <w:t>Number of countries (total and LNG importers) that hold free trade agreements with the US as of May 2013</w:t>
                  </w:r>
                </w:p>
              </w:txbxContent>
            </v:textbox>
            <w10:wrap type="tight"/>
          </v:shape>
        </w:pict>
      </w:r>
      <w:r w:rsidR="00645870">
        <w:rPr>
          <w:b/>
          <w:color w:val="215A99"/>
          <w:sz w:val="18"/>
          <w:lang w:val="en-GB"/>
        </w:rPr>
        <w:t>7</w:t>
      </w:r>
      <w:r w:rsidR="00733532">
        <w:rPr>
          <w:b/>
          <w:color w:val="215A99"/>
          <w:sz w:val="18"/>
          <w:lang w:val="en-GB"/>
        </w:rPr>
        <w:t>.3.1</w:t>
      </w:r>
      <w:r w:rsidR="00733532" w:rsidRPr="00564DBB">
        <w:rPr>
          <w:b/>
          <w:color w:val="215A99"/>
          <w:sz w:val="18"/>
          <w:lang w:val="en-GB"/>
        </w:rPr>
        <w:t xml:space="preserve">. </w:t>
      </w:r>
      <w:r w:rsidR="00733532">
        <w:rPr>
          <w:b/>
          <w:color w:val="215A99"/>
          <w:sz w:val="18"/>
          <w:lang w:val="en-GB"/>
        </w:rPr>
        <w:t xml:space="preserve">US POLITICAL RISKS: EXPORT LICENSES. </w:t>
      </w:r>
      <w:r w:rsidR="00733532">
        <w:rPr>
          <w:sz w:val="18"/>
          <w:lang w:val="en-GB"/>
        </w:rPr>
        <w:t>O</w:t>
      </w:r>
      <w:r w:rsidR="00733532" w:rsidRPr="00F75D38">
        <w:rPr>
          <w:sz w:val="18"/>
          <w:lang w:val="en-GB"/>
        </w:rPr>
        <w:t xml:space="preserve">ut of all </w:t>
      </w:r>
      <w:r w:rsidR="00316CE7">
        <w:rPr>
          <w:sz w:val="18"/>
          <w:lang w:val="en-GB"/>
        </w:rPr>
        <w:t>20</w:t>
      </w:r>
      <w:r w:rsidR="00733532">
        <w:rPr>
          <w:sz w:val="18"/>
          <w:lang w:val="en-GB"/>
        </w:rPr>
        <w:t xml:space="preserve"> </w:t>
      </w:r>
      <w:r w:rsidR="00733532" w:rsidRPr="00F75D38">
        <w:rPr>
          <w:sz w:val="18"/>
          <w:lang w:val="en-GB"/>
        </w:rPr>
        <w:t>projects</w:t>
      </w:r>
      <w:r w:rsidR="00733532">
        <w:rPr>
          <w:sz w:val="18"/>
          <w:lang w:val="en-GB"/>
        </w:rPr>
        <w:t xml:space="preserve"> proposed in the US Lower 48</w:t>
      </w:r>
      <w:r w:rsidR="00733532" w:rsidRPr="00F75D38">
        <w:rPr>
          <w:sz w:val="18"/>
          <w:lang w:val="en-GB"/>
        </w:rPr>
        <w:t>, only the first two phases of Sabine Pass LNG have gained full regulatory approval</w:t>
      </w:r>
      <w:r w:rsidR="00733532">
        <w:rPr>
          <w:sz w:val="18"/>
          <w:lang w:val="en-GB"/>
        </w:rPr>
        <w:t xml:space="preserve"> as of May 2013</w:t>
      </w:r>
      <w:r w:rsidR="00733532" w:rsidRPr="00F75D38">
        <w:rPr>
          <w:sz w:val="18"/>
          <w:lang w:val="en-GB"/>
        </w:rPr>
        <w:t>. US projects must obtain two major sets of approvals to move forward: approval to export</w:t>
      </w:r>
      <w:r w:rsidR="00733532" w:rsidRPr="007E1EB2">
        <w:rPr>
          <w:sz w:val="18"/>
          <w:lang w:val="en-GB"/>
        </w:rPr>
        <w:t xml:space="preserve"> LNG from the Department of Energy (DOE) and approval to construct liquefaction facilities from the Federal Energy Regulatory Commission (FERC).  </w:t>
      </w:r>
      <w:r w:rsidR="00733532">
        <w:rPr>
          <w:sz w:val="18"/>
          <w:lang w:val="en-GB"/>
        </w:rPr>
        <w:t xml:space="preserve">The </w:t>
      </w:r>
      <w:r w:rsidR="00733532" w:rsidRPr="007E1EB2">
        <w:rPr>
          <w:sz w:val="18"/>
          <w:lang w:val="en-GB"/>
        </w:rPr>
        <w:t>DOE regulates LNG as a commodity in international trade</w:t>
      </w:r>
      <w:r w:rsidR="00733532">
        <w:rPr>
          <w:sz w:val="18"/>
          <w:lang w:val="en-GB"/>
        </w:rPr>
        <w:t xml:space="preserve">, while </w:t>
      </w:r>
      <w:r w:rsidR="00733532" w:rsidRPr="007E1EB2">
        <w:rPr>
          <w:sz w:val="18"/>
          <w:lang w:val="en-GB"/>
        </w:rPr>
        <w:t xml:space="preserve">FERC regulates the design, construction, and operation of </w:t>
      </w:r>
      <w:r w:rsidR="00733532">
        <w:rPr>
          <w:sz w:val="18"/>
          <w:lang w:val="en-GB"/>
        </w:rPr>
        <w:t>a</w:t>
      </w:r>
      <w:r w:rsidR="00733532" w:rsidRPr="007E1EB2">
        <w:rPr>
          <w:sz w:val="18"/>
          <w:lang w:val="en-GB"/>
        </w:rPr>
        <w:t xml:space="preserve"> facility and its impact on the surrounding environment. Other state and local approvals are required, but most of these are addressed during </w:t>
      </w:r>
      <w:r w:rsidR="00316CE7">
        <w:rPr>
          <w:sz w:val="18"/>
          <w:lang w:val="en-GB"/>
        </w:rPr>
        <w:t>the FERC approval process. Out of 20</w:t>
      </w:r>
      <w:r w:rsidR="00733532" w:rsidRPr="007E1EB2">
        <w:rPr>
          <w:sz w:val="18"/>
          <w:lang w:val="en-GB"/>
        </w:rPr>
        <w:t xml:space="preserve"> </w:t>
      </w:r>
      <w:r w:rsidR="00733532">
        <w:rPr>
          <w:sz w:val="18"/>
          <w:lang w:val="en-GB"/>
        </w:rPr>
        <w:t xml:space="preserve">new liquefaction </w:t>
      </w:r>
      <w:r w:rsidR="00733532" w:rsidRPr="007E1EB2">
        <w:rPr>
          <w:sz w:val="18"/>
          <w:lang w:val="en-GB"/>
        </w:rPr>
        <w:t>projects</w:t>
      </w:r>
      <w:r w:rsidR="00316CE7">
        <w:rPr>
          <w:sz w:val="18"/>
          <w:lang w:val="en-GB"/>
        </w:rPr>
        <w:t>, 19</w:t>
      </w:r>
      <w:r w:rsidR="00733532" w:rsidRPr="007E1EB2">
        <w:rPr>
          <w:sz w:val="18"/>
          <w:lang w:val="en-GB"/>
        </w:rPr>
        <w:t xml:space="preserve"> have received</w:t>
      </w:r>
      <w:r w:rsidR="00733532">
        <w:rPr>
          <w:sz w:val="18"/>
          <w:lang w:val="en-GB"/>
        </w:rPr>
        <w:t xml:space="preserve"> at least partial</w:t>
      </w:r>
      <w:r w:rsidR="00733532" w:rsidRPr="007E1EB2">
        <w:rPr>
          <w:sz w:val="18"/>
          <w:lang w:val="en-GB"/>
        </w:rPr>
        <w:t xml:space="preserve"> approval to export LNG to countries with which the US holds a free trade agre</w:t>
      </w:r>
      <w:r w:rsidR="00316CE7">
        <w:rPr>
          <w:sz w:val="18"/>
          <w:lang w:val="en-GB"/>
        </w:rPr>
        <w:t>ement (FTA) at the DOE, while 16</w:t>
      </w:r>
      <w:r w:rsidR="00733532" w:rsidRPr="007E1EB2">
        <w:rPr>
          <w:sz w:val="18"/>
          <w:lang w:val="en-GB"/>
        </w:rPr>
        <w:t xml:space="preserve"> of those have </w:t>
      </w:r>
      <w:r w:rsidR="00733532" w:rsidRPr="00F75D38">
        <w:rPr>
          <w:sz w:val="18"/>
          <w:lang w:val="en-GB"/>
        </w:rPr>
        <w:t>applied to export to non-FTA countries. Of these, only Sabine Pass T1-4 and Freeport LNG T1-2 have received approval.</w:t>
      </w:r>
    </w:p>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7E1EB2">
        <w:rPr>
          <w:sz w:val="18"/>
          <w:lang w:val="en-GB"/>
        </w:rPr>
        <w:t xml:space="preserve">Applications to export to FTA countries must be approved without modification or delay under the US Natural Gas Act and, as such, cannot </w:t>
      </w:r>
      <w:r w:rsidRPr="00A1312F">
        <w:rPr>
          <w:sz w:val="18"/>
          <w:lang w:val="en-GB"/>
        </w:rPr>
        <w:t xml:space="preserve">be prohibited by DOE. In contrast, while exports to non-FTA countries are presumed to be in the “public interest” under the Natural Gas Act, the DOE must </w:t>
      </w:r>
      <w:r>
        <w:rPr>
          <w:sz w:val="18"/>
          <w:lang w:val="en-GB"/>
        </w:rPr>
        <w:t xml:space="preserve">officially </w:t>
      </w:r>
      <w:r w:rsidRPr="00A1312F">
        <w:rPr>
          <w:sz w:val="18"/>
          <w:lang w:val="en-GB"/>
        </w:rPr>
        <w:t xml:space="preserve">make that determination, which can be later modified, suspended, or rescinded after an administrative proceeding. </w:t>
      </w:r>
      <w:r w:rsidRPr="007E1EB2">
        <w:rPr>
          <w:sz w:val="18"/>
          <w:lang w:val="en-GB"/>
        </w:rPr>
        <w:t xml:space="preserve">In non-FTA </w:t>
      </w:r>
      <w:proofErr w:type="gramStart"/>
      <w:r w:rsidRPr="007E1EB2">
        <w:rPr>
          <w:sz w:val="18"/>
          <w:lang w:val="en-GB"/>
        </w:rPr>
        <w:t>cases, the presumption under the law is</w:t>
      </w:r>
      <w:proofErr w:type="gramEnd"/>
      <w:r w:rsidRPr="007E1EB2">
        <w:rPr>
          <w:sz w:val="18"/>
          <w:lang w:val="en-GB"/>
        </w:rPr>
        <w:t xml:space="preserve"> that trade is in the public interest unless ev</w:t>
      </w:r>
      <w:r>
        <w:rPr>
          <w:sz w:val="18"/>
          <w:lang w:val="en-GB"/>
        </w:rPr>
        <w:t xml:space="preserve">idence proves to the contrary. </w:t>
      </w:r>
      <w:r w:rsidRPr="007E1EB2">
        <w:rPr>
          <w:sz w:val="18"/>
          <w:lang w:val="en-GB"/>
        </w:rPr>
        <w:t xml:space="preserve">The treatment of projects potentially serving </w:t>
      </w:r>
      <w:r w:rsidRPr="00F75D38">
        <w:rPr>
          <w:sz w:val="18"/>
          <w:lang w:val="en-GB"/>
        </w:rPr>
        <w:t>non-FTA countries has been the major focus of the DOE as a limited upside to LNG demand exists in FTA countries. Although</w:t>
      </w:r>
      <w:r>
        <w:rPr>
          <w:sz w:val="18"/>
          <w:lang w:val="en-GB"/>
        </w:rPr>
        <w:t xml:space="preserve"> Japan and other Asian countries are under negotiations to become FTA countries under the Trans-Pacific Partnership (TPP) agreement, </w:t>
      </w:r>
      <w:r>
        <w:rPr>
          <w:sz w:val="18"/>
          <w:lang w:val="en-GB"/>
        </w:rPr>
        <w:lastRenderedPageBreak/>
        <w:t>these negotiations will be lengthy and non-FTA approvals are likely to come first.</w:t>
      </w:r>
    </w:p>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224926">
        <w:rPr>
          <w:sz w:val="18"/>
          <w:lang w:val="en-GB"/>
        </w:rPr>
        <w:t>Due to the number of proposed projects, significant debate has arisen concerning the approval process, and the DOE put all non-FTA approvals on hold after Sabine Pass while it reviews the process. Continuing and potentially expanding controversies exist over the Natural Gas Act terminology “public interest”, which while vaguely defined; is understood to include multiple factors beyond simply the effect on domestic prices will be considered. Political support for LNG exports has gained ground among a wide range of players (including members of Congress, industrial groups, and state and local governments), especially following the release of the DOE-commissioned NERA (founded as National Economic Research Associates) consulting study in December 2012 that had a mostly positive view of the economic effects of LNG exports.</w:t>
      </w:r>
    </w:p>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224926">
        <w:rPr>
          <w:sz w:val="18"/>
          <w:lang w:val="en-GB"/>
        </w:rPr>
        <w:t>The concern about increased prices is the primary point of several industrial groups (led by Dow Chemical), who remain vocally opposed to unlimited exports, indicating that they would hurt US gas consumers and manufacturers and that a greater economic benefit would be derived by keeping domestic gas within the country. Opposition to the continued use of hydraulic fracturing of shale gas formations (“</w:t>
      </w:r>
      <w:proofErr w:type="spellStart"/>
      <w:r w:rsidRPr="00224926">
        <w:rPr>
          <w:sz w:val="18"/>
          <w:lang w:val="en-GB"/>
        </w:rPr>
        <w:t>fracking</w:t>
      </w:r>
      <w:proofErr w:type="spellEnd"/>
      <w:r w:rsidRPr="00224926">
        <w:rPr>
          <w:sz w:val="18"/>
          <w:lang w:val="en-GB"/>
        </w:rPr>
        <w:t xml:space="preserve">”) remains a factor, represented most strongly by environmental groups like the Sierra Club, particularly in the Northeast and West Coasts. However, very few groups have come out in </w:t>
      </w:r>
      <w:proofErr w:type="spellStart"/>
      <w:r w:rsidRPr="00224926">
        <w:rPr>
          <w:sz w:val="18"/>
          <w:lang w:val="en-GB"/>
        </w:rPr>
        <w:t>favor</w:t>
      </w:r>
      <w:proofErr w:type="spellEnd"/>
      <w:r w:rsidRPr="00224926">
        <w:rPr>
          <w:sz w:val="18"/>
          <w:lang w:val="en-GB"/>
        </w:rPr>
        <w:t xml:space="preserve"> of completely preventing exports, with most calling for delayed approvals to allow for extended research on the environmental effects of </w:t>
      </w:r>
      <w:proofErr w:type="spellStart"/>
      <w:r w:rsidRPr="00224926">
        <w:rPr>
          <w:sz w:val="18"/>
          <w:lang w:val="en-GB"/>
        </w:rPr>
        <w:t>fracking</w:t>
      </w:r>
      <w:proofErr w:type="spellEnd"/>
      <w:r w:rsidRPr="00224926">
        <w:rPr>
          <w:sz w:val="18"/>
          <w:lang w:val="en-GB"/>
        </w:rPr>
        <w:t xml:space="preserve"> or price effects of exports.</w:t>
      </w:r>
    </w:p>
    <w:p w:rsidR="00733532" w:rsidRDefault="00073EEA" w:rsidP="00733532">
      <w:pPr>
        <w:spacing w:line="252" w:lineRule="auto"/>
        <w:ind w:left="180"/>
        <w:jc w:val="both"/>
        <w:rPr>
          <w:sz w:val="18"/>
          <w:lang w:val="en-GB"/>
        </w:rPr>
      </w:pPr>
      <w:r w:rsidRPr="00073EEA">
        <w:rPr>
          <w:b/>
          <w:noProof/>
          <w:color w:val="215A99"/>
          <w:sz w:val="18"/>
          <w:lang w:eastAsia="en-US"/>
        </w:rPr>
        <w:pict>
          <v:shape id="_x0000_s1077" type="#_x0000_t202" style="position:absolute;left:0;text-align:left;margin-left:-3.5pt;margin-top:3.05pt;width:131.6pt;height:61.5pt;z-index:251663360;mso-wrap-edited:f;mso-wrap-distance-left:14.4pt;mso-wrap-distance-right:14.4pt;mso-width-relative:margin;mso-height-relative:margin" wrapcoords="0 0 21600 0 21600 21600 0 21600 0 0" filled="f" stroked="f" strokecolor="silver">
            <v:fill o:detectmouseclick="t"/>
            <v:textbox style="mso-next-textbox:#_x0000_s1077" inset=".72pt,0,.72pt,0">
              <w:txbxContent>
                <w:p w:rsidR="00856114" w:rsidRPr="003A5BDA" w:rsidRDefault="00856114" w:rsidP="00733532">
                  <w:pPr>
                    <w:rPr>
                      <w:b/>
                      <w:color w:val="1B82CE" w:themeColor="accent3"/>
                      <w:sz w:val="24"/>
                    </w:rPr>
                  </w:pPr>
                  <w:r>
                    <w:rPr>
                      <w:b/>
                      <w:color w:val="1B82CE" w:themeColor="accent3"/>
                      <w:sz w:val="24"/>
                    </w:rPr>
                    <w:t xml:space="preserve">19 FTA; </w:t>
                  </w:r>
                  <w:proofErr w:type="gramStart"/>
                  <w:r>
                    <w:rPr>
                      <w:b/>
                      <w:color w:val="1B82CE" w:themeColor="accent3"/>
                      <w:sz w:val="24"/>
                    </w:rPr>
                    <w:t>2 Non-FTA</w:t>
                  </w:r>
                  <w:proofErr w:type="gramEnd"/>
                </w:p>
                <w:p w:rsidR="00856114" w:rsidRPr="003A5BDA" w:rsidRDefault="00856114" w:rsidP="00733532">
                  <w:pPr>
                    <w:jc w:val="both"/>
                    <w:rPr>
                      <w:i/>
                      <w:color w:val="1B82CE" w:themeColor="accent3"/>
                      <w:sz w:val="18"/>
                    </w:rPr>
                  </w:pPr>
                  <w:r>
                    <w:rPr>
                      <w:i/>
                      <w:color w:val="1B82CE" w:themeColor="accent3"/>
                      <w:sz w:val="18"/>
                    </w:rPr>
                    <w:t>Number of new US liquefaction projects that had been approved for exports to FTA and non-FTA countries as of May 2013</w:t>
                  </w:r>
                </w:p>
              </w:txbxContent>
            </v:textbox>
            <w10:wrap type="tight"/>
          </v:shape>
        </w:pict>
      </w:r>
    </w:p>
    <w:p w:rsidR="00733532" w:rsidRDefault="00733532" w:rsidP="00733532">
      <w:pPr>
        <w:spacing w:line="252" w:lineRule="auto"/>
        <w:ind w:left="180"/>
        <w:jc w:val="both"/>
        <w:rPr>
          <w:sz w:val="18"/>
          <w:lang w:val="en-GB"/>
        </w:rPr>
      </w:pPr>
      <w:r w:rsidRPr="00224926">
        <w:rPr>
          <w:sz w:val="18"/>
          <w:lang w:val="en-GB"/>
        </w:rPr>
        <w:t>Finally, projects in the US  run the risk of an export license revocation if the DOE determines in the future that LNG exports are no longer in the public interest. Due to the uncertainty surrounding what qualifies something as “not in the public interest,” the likelihood of an export license revocation is low as it will be difficult to bring evidence supporting such an undefined term. Yet revocation certainly remains a project risk, and the chance could increase if events occurred to turn majority public opinion strongly against gas exports.</w:t>
      </w:r>
    </w:p>
    <w:p w:rsidR="00733532" w:rsidRDefault="00733532" w:rsidP="00733532">
      <w:pPr>
        <w:spacing w:line="252" w:lineRule="auto"/>
        <w:ind w:left="180"/>
        <w:jc w:val="both"/>
        <w:rPr>
          <w:b/>
          <w:color w:val="215A99"/>
          <w:sz w:val="18"/>
          <w:lang w:val="en-GB"/>
        </w:rPr>
      </w:pPr>
    </w:p>
    <w:p w:rsidR="00733532" w:rsidRPr="00224926" w:rsidRDefault="00645870" w:rsidP="00733532">
      <w:pPr>
        <w:spacing w:line="252" w:lineRule="auto"/>
        <w:ind w:left="180"/>
        <w:jc w:val="both"/>
        <w:rPr>
          <w:sz w:val="18"/>
          <w:lang w:val="en-GB"/>
        </w:rPr>
      </w:pPr>
      <w:r>
        <w:rPr>
          <w:b/>
          <w:color w:val="215A99"/>
          <w:sz w:val="18"/>
          <w:lang w:val="en-GB"/>
        </w:rPr>
        <w:t>7</w:t>
      </w:r>
      <w:r w:rsidR="00733532">
        <w:rPr>
          <w:b/>
          <w:color w:val="215A99"/>
          <w:sz w:val="18"/>
          <w:lang w:val="en-GB"/>
        </w:rPr>
        <w:t>.3.2</w:t>
      </w:r>
      <w:r w:rsidR="00733532" w:rsidRPr="00564DBB">
        <w:rPr>
          <w:b/>
          <w:color w:val="215A99"/>
          <w:sz w:val="18"/>
          <w:lang w:val="en-GB"/>
        </w:rPr>
        <w:t xml:space="preserve">. </w:t>
      </w:r>
      <w:r w:rsidR="00733532">
        <w:rPr>
          <w:b/>
          <w:color w:val="215A99"/>
          <w:sz w:val="18"/>
          <w:lang w:val="en-GB"/>
        </w:rPr>
        <w:t>US POLITICAL RISKS: ENVIRONMENTAL APPROVAL</w:t>
      </w:r>
      <w:r w:rsidR="00733532" w:rsidRPr="00224926">
        <w:rPr>
          <w:sz w:val="18"/>
          <w:lang w:val="en-GB"/>
        </w:rPr>
        <w:t>.  Although much attention has been drawn to DOE approval given the current political debate, a</w:t>
      </w:r>
      <w:r w:rsidR="00733532">
        <w:rPr>
          <w:sz w:val="18"/>
          <w:lang w:val="en-GB"/>
        </w:rPr>
        <w:t xml:space="preserve"> </w:t>
      </w:r>
      <w:r w:rsidR="00733532" w:rsidRPr="00224926">
        <w:rPr>
          <w:sz w:val="18"/>
          <w:lang w:val="en-GB"/>
        </w:rPr>
        <w:t xml:space="preserve">project’s ability to receive FERC approval is highly critical to its progress, and will likely have a bigger impact on the final slate of projects that are commissioned.  </w:t>
      </w:r>
      <w:r w:rsidR="00733532">
        <w:rPr>
          <w:sz w:val="18"/>
          <w:lang w:val="en-GB"/>
        </w:rPr>
        <w:t>Five</w:t>
      </w:r>
      <w:r w:rsidR="00733532" w:rsidRPr="00224926">
        <w:rPr>
          <w:sz w:val="18"/>
          <w:lang w:val="en-GB"/>
        </w:rPr>
        <w:t xml:space="preserve"> projects have submitted full applications to the Commission, while another </w:t>
      </w:r>
      <w:r w:rsidR="00CE3B6E">
        <w:rPr>
          <w:sz w:val="18"/>
          <w:lang w:val="en-GB"/>
        </w:rPr>
        <w:t>eight</w:t>
      </w:r>
      <w:r w:rsidR="00733532" w:rsidRPr="00224926">
        <w:rPr>
          <w:sz w:val="18"/>
          <w:lang w:val="en-GB"/>
        </w:rPr>
        <w:t xml:space="preserve"> have begun the pre</w:t>
      </w:r>
      <w:r w:rsidR="00733532">
        <w:rPr>
          <w:sz w:val="18"/>
          <w:lang w:val="en-GB"/>
        </w:rPr>
        <w:t>-</w:t>
      </w:r>
      <w:r w:rsidR="00733532" w:rsidRPr="00224926">
        <w:rPr>
          <w:sz w:val="18"/>
          <w:lang w:val="en-GB"/>
        </w:rPr>
        <w:t xml:space="preserve">filing process (as has the expansion at Sabine Pass). The FERC process is </w:t>
      </w:r>
      <w:r w:rsidR="00733532">
        <w:rPr>
          <w:sz w:val="18"/>
          <w:lang w:val="en-GB"/>
        </w:rPr>
        <w:t xml:space="preserve">much longer and more expensive to complete than the </w:t>
      </w:r>
      <w:r w:rsidR="00733532">
        <w:rPr>
          <w:sz w:val="18"/>
          <w:lang w:val="en-GB"/>
        </w:rPr>
        <w:lastRenderedPageBreak/>
        <w:t>DOE process, and no project expects to receive full approval in 2013</w:t>
      </w:r>
      <w:r w:rsidR="00733532" w:rsidRPr="00224926">
        <w:rPr>
          <w:sz w:val="18"/>
          <w:lang w:val="en-GB"/>
        </w:rPr>
        <w:t>.</w:t>
      </w:r>
    </w:p>
    <w:p w:rsidR="00733532" w:rsidRPr="00224926" w:rsidRDefault="00733532" w:rsidP="00733532">
      <w:pPr>
        <w:spacing w:line="252" w:lineRule="auto"/>
        <w:ind w:left="180"/>
        <w:jc w:val="both"/>
        <w:rPr>
          <w:sz w:val="18"/>
          <w:lang w:val="en-GB"/>
        </w:rPr>
      </w:pPr>
    </w:p>
    <w:p w:rsidR="00733532" w:rsidRPr="00F75D38" w:rsidRDefault="00733532" w:rsidP="00733532">
      <w:pPr>
        <w:spacing w:line="252" w:lineRule="auto"/>
        <w:ind w:left="180"/>
        <w:jc w:val="both"/>
        <w:rPr>
          <w:sz w:val="18"/>
          <w:lang w:val="en-GB"/>
        </w:rPr>
      </w:pPr>
      <w:r>
        <w:rPr>
          <w:sz w:val="18"/>
          <w:lang w:val="en-GB"/>
        </w:rPr>
        <w:t>The r</w:t>
      </w:r>
      <w:r w:rsidRPr="00224926">
        <w:rPr>
          <w:sz w:val="18"/>
          <w:lang w:val="en-GB"/>
        </w:rPr>
        <w:t>isk of restriction</w:t>
      </w:r>
      <w:r>
        <w:rPr>
          <w:sz w:val="18"/>
          <w:lang w:val="en-GB"/>
        </w:rPr>
        <w:t>s</w:t>
      </w:r>
      <w:r w:rsidRPr="00224926">
        <w:rPr>
          <w:sz w:val="18"/>
          <w:lang w:val="en-GB"/>
        </w:rPr>
        <w:t xml:space="preserve"> o</w:t>
      </w:r>
      <w:r>
        <w:rPr>
          <w:sz w:val="18"/>
          <w:lang w:val="en-GB"/>
        </w:rPr>
        <w:t>n</w:t>
      </w:r>
      <w:r w:rsidRPr="00224926">
        <w:rPr>
          <w:sz w:val="18"/>
          <w:lang w:val="en-GB"/>
        </w:rPr>
        <w:t xml:space="preserve"> shale gas development imposes indirect but important risks for LNG export projects since overall supply relative to exploitable gas resources may be cons</w:t>
      </w:r>
      <w:r>
        <w:rPr>
          <w:sz w:val="18"/>
          <w:lang w:val="en-GB"/>
        </w:rPr>
        <w:t xml:space="preserve">trained. </w:t>
      </w:r>
      <w:r w:rsidRPr="00224926">
        <w:rPr>
          <w:sz w:val="18"/>
          <w:lang w:val="en-GB"/>
        </w:rPr>
        <w:t>In the US, current restrictions at the s</w:t>
      </w:r>
      <w:r>
        <w:rPr>
          <w:sz w:val="18"/>
          <w:lang w:val="en-GB"/>
        </w:rPr>
        <w:t xml:space="preserve">tate </w:t>
      </w:r>
      <w:r w:rsidRPr="00F75D38">
        <w:rPr>
          <w:sz w:val="18"/>
          <w:lang w:val="en-GB"/>
        </w:rPr>
        <w:t xml:space="preserve">level may become important if they are more broadly applied. So far, only Vermont has placed a full ban on </w:t>
      </w:r>
      <w:proofErr w:type="spellStart"/>
      <w:r w:rsidRPr="00F75D38">
        <w:rPr>
          <w:sz w:val="18"/>
          <w:lang w:val="en-GB"/>
        </w:rPr>
        <w:t>fracking</w:t>
      </w:r>
      <w:proofErr w:type="spellEnd"/>
      <w:r w:rsidRPr="00F75D38">
        <w:rPr>
          <w:sz w:val="18"/>
          <w:lang w:val="en-GB"/>
        </w:rPr>
        <w:t xml:space="preserve"> at the state level, while others (including Maryland and New York) have placed moratoriums on </w:t>
      </w:r>
      <w:proofErr w:type="spellStart"/>
      <w:r w:rsidRPr="00F75D38">
        <w:rPr>
          <w:sz w:val="18"/>
          <w:lang w:val="en-GB"/>
        </w:rPr>
        <w:t>fracking</w:t>
      </w:r>
      <w:proofErr w:type="spellEnd"/>
      <w:r w:rsidRPr="00F75D38">
        <w:rPr>
          <w:sz w:val="18"/>
          <w:lang w:val="en-GB"/>
        </w:rPr>
        <w:t xml:space="preserve"> pending further study of the technique. Other states, such as Wyoming and Ohio have increased drilling reporting standards and other regulation. Jurisdictional restrictions on shale development elsewhere may be likewise important, either by directly constraining LNG feedstock or by limiting domestic gas supplies to the point whereby LNG feedstock is substituted for other parts of the gas transportation chain. Similar issues may emerge in other regions where shale gas development has been discussed, such as Australia or Europe. </w:t>
      </w:r>
    </w:p>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224926">
        <w:rPr>
          <w:sz w:val="18"/>
          <w:lang w:val="en-GB"/>
        </w:rPr>
        <w:t>The political risk of an individual project increases relative to their position in the queue of export applications at the DOE and FERC. Projects that are able to move most quickly through the review process (especially at FERC) will be able to secure financing and start construction before projects that have faced delays (like projects proposed in Oregon) or those that have filed much later. As each additional project gains financing and begins construction, it becomes less and less likely that another project will be able to do so as the fear of overbuilding becomes more tangible.</w:t>
      </w:r>
    </w:p>
    <w:p w:rsidR="00733532" w:rsidRDefault="00733532" w:rsidP="00733532">
      <w:pPr>
        <w:spacing w:line="252" w:lineRule="auto"/>
        <w:ind w:left="180"/>
        <w:jc w:val="both"/>
        <w:rPr>
          <w:sz w:val="18"/>
          <w:lang w:val="en-GB"/>
        </w:rPr>
      </w:pPr>
    </w:p>
    <w:p w:rsidR="00733532" w:rsidRDefault="00073EEA" w:rsidP="00733532">
      <w:pPr>
        <w:spacing w:line="252" w:lineRule="auto"/>
        <w:ind w:left="180"/>
        <w:jc w:val="both"/>
        <w:rPr>
          <w:sz w:val="18"/>
          <w:lang w:val="en-GB"/>
        </w:rPr>
      </w:pPr>
      <w:r w:rsidRPr="00073EEA">
        <w:rPr>
          <w:b/>
          <w:noProof/>
          <w:color w:val="215A99"/>
          <w:sz w:val="18"/>
          <w:lang w:eastAsia="en-US"/>
        </w:rPr>
        <w:pict>
          <v:shape id="_x0000_s1078" type="#_x0000_t202" style="position:absolute;left:0;text-align:left;margin-left:130.9pt;margin-top:90.05pt;width:131.6pt;height:61.5pt;z-index:251664384;mso-wrap-edited:f;mso-wrap-distance-left:14.4pt;mso-wrap-distance-right:14.4pt;mso-width-relative:margin;mso-height-relative:margin" wrapcoords="0 0 21600 0 21600 21600 0 21600 0 0" filled="f" stroked="f" strokecolor="silver">
            <v:fill o:detectmouseclick="t"/>
            <v:textbox style="mso-next-textbox:#_x0000_s1078" inset=".72pt,0,.72pt,0">
              <w:txbxContent>
                <w:p w:rsidR="00856114" w:rsidRPr="003A5BDA" w:rsidRDefault="00856114" w:rsidP="00733532">
                  <w:pPr>
                    <w:rPr>
                      <w:b/>
                      <w:color w:val="1B82CE" w:themeColor="accent3"/>
                      <w:sz w:val="24"/>
                    </w:rPr>
                  </w:pPr>
                  <w:r>
                    <w:rPr>
                      <w:b/>
                      <w:color w:val="1B82CE" w:themeColor="accent3"/>
                      <w:sz w:val="24"/>
                    </w:rPr>
                    <w:t>3 (to all countries)</w:t>
                  </w:r>
                </w:p>
                <w:p w:rsidR="00856114" w:rsidRPr="003A5BDA" w:rsidRDefault="00856114" w:rsidP="00733532">
                  <w:pPr>
                    <w:jc w:val="both"/>
                    <w:rPr>
                      <w:i/>
                      <w:color w:val="1B82CE" w:themeColor="accent3"/>
                      <w:sz w:val="18"/>
                    </w:rPr>
                  </w:pPr>
                  <w:r>
                    <w:rPr>
                      <w:i/>
                      <w:color w:val="1B82CE" w:themeColor="accent3"/>
                      <w:sz w:val="18"/>
                    </w:rPr>
                    <w:t>Number of new Canadian liquefaction projects that had received export licenses as of May 2013</w:t>
                  </w:r>
                </w:p>
              </w:txbxContent>
            </v:textbox>
            <w10:wrap type="tight"/>
          </v:shape>
        </w:pict>
      </w:r>
      <w:r w:rsidR="00645870">
        <w:rPr>
          <w:b/>
          <w:color w:val="215A99"/>
          <w:sz w:val="18"/>
          <w:lang w:val="en-GB"/>
        </w:rPr>
        <w:t>7</w:t>
      </w:r>
      <w:r w:rsidR="00733532">
        <w:rPr>
          <w:b/>
          <w:color w:val="215A99"/>
          <w:sz w:val="18"/>
          <w:lang w:val="en-GB"/>
        </w:rPr>
        <w:t>.3.</w:t>
      </w:r>
      <w:r w:rsidR="00733532" w:rsidRPr="00224926">
        <w:rPr>
          <w:b/>
          <w:color w:val="215A99"/>
          <w:sz w:val="18"/>
          <w:lang w:val="en-GB"/>
        </w:rPr>
        <w:t>3 CANADA POLITICAL RISKS: EXPORT LICENSES</w:t>
      </w:r>
      <w:r w:rsidR="00733532">
        <w:rPr>
          <w:b/>
          <w:color w:val="215A99"/>
          <w:sz w:val="18"/>
          <w:lang w:val="en-GB"/>
        </w:rPr>
        <w:t>.</w:t>
      </w:r>
      <w:r w:rsidR="00733532" w:rsidRPr="00224926">
        <w:rPr>
          <w:sz w:val="18"/>
          <w:lang w:val="en-GB"/>
        </w:rPr>
        <w:t xml:space="preserve"> Liquefaction projects in Western Canada face a smaller range of political risks than those in the Lower 48, as Canada is much more accustomed to energy exports on a large scale (both oil and gas). The government has approved export licenses for those projects that have applied fairly quickly, stating that the major determinant for approval is whether or not a project will cut into domestic gas requirements. Given the large potential of shale gas resources, this is fairly unlikely. Although projects that have not yet received export licenses still face the risk of delay or a potential limit being placed on the number of licenses granted, these risks are quite small. </w:t>
      </w:r>
    </w:p>
    <w:p w:rsidR="00733532" w:rsidRDefault="00733532" w:rsidP="00733532">
      <w:pPr>
        <w:spacing w:line="252" w:lineRule="auto"/>
        <w:ind w:left="180"/>
        <w:jc w:val="both"/>
        <w:rPr>
          <w:sz w:val="18"/>
          <w:lang w:val="en-GB"/>
        </w:rPr>
      </w:pPr>
    </w:p>
    <w:p w:rsidR="00733532" w:rsidRDefault="00645870" w:rsidP="00733532">
      <w:pPr>
        <w:spacing w:line="252" w:lineRule="auto"/>
        <w:ind w:left="180"/>
        <w:jc w:val="both"/>
        <w:rPr>
          <w:sz w:val="18"/>
          <w:lang w:val="en-GB"/>
        </w:rPr>
      </w:pPr>
      <w:r>
        <w:rPr>
          <w:b/>
          <w:color w:val="215A99"/>
          <w:sz w:val="18"/>
          <w:lang w:val="en-GB"/>
        </w:rPr>
        <w:t>7</w:t>
      </w:r>
      <w:r w:rsidR="00733532">
        <w:rPr>
          <w:b/>
          <w:color w:val="215A99"/>
          <w:sz w:val="18"/>
          <w:lang w:val="en-GB"/>
        </w:rPr>
        <w:t>.3</w:t>
      </w:r>
      <w:r w:rsidR="00733532" w:rsidRPr="006A3EA4">
        <w:rPr>
          <w:b/>
          <w:color w:val="215A99"/>
          <w:sz w:val="18"/>
          <w:lang w:val="en-GB"/>
        </w:rPr>
        <w:t>.4 CANADA POLITICAL RISKS: ENVIRONMENTAL APPROVAL.</w:t>
      </w:r>
      <w:r w:rsidR="00733532" w:rsidRPr="006A3EA4">
        <w:rPr>
          <w:sz w:val="18"/>
          <w:lang w:val="en-GB"/>
        </w:rPr>
        <w:t xml:space="preserve"> Another issue that could create regulatory risk is environmental opposition to the construction of either the liquefaction facilities or the large pipelines most projects have proposed. There has been significant local backlash to Enbridge’s proposed oil pipeline, which would connect Alberta’s oil sands to an export terminal at Kitimat, traversing a similar route as many of the proposed </w:t>
      </w:r>
      <w:r w:rsidR="00733532" w:rsidRPr="006A3EA4">
        <w:rPr>
          <w:sz w:val="18"/>
          <w:lang w:val="en-GB"/>
        </w:rPr>
        <w:lastRenderedPageBreak/>
        <w:t>gas pipelines towards the coast. However, local groups (including First Nations) have so far put up little opposition to gas facilities, partly due to the differing scale of negative effects of an oil spill versus a gas leak.</w:t>
      </w:r>
    </w:p>
    <w:tbl>
      <w:tblPr>
        <w:tblpPr w:leftFromText="180" w:rightFromText="180" w:vertAnchor="text" w:horzAnchor="margin" w:tblpY="-246"/>
        <w:tblW w:w="10394" w:type="dxa"/>
        <w:tblLayout w:type="fixed"/>
        <w:tblLook w:val="01E0"/>
      </w:tblPr>
      <w:tblGrid>
        <w:gridCol w:w="10394"/>
      </w:tblGrid>
      <w:tr w:rsidR="00733532" w:rsidRPr="00A918C1" w:rsidTr="007836D7">
        <w:trPr>
          <w:trHeight w:val="2953"/>
        </w:trPr>
        <w:tc>
          <w:tcPr>
            <w:tcW w:w="10394" w:type="dxa"/>
          </w:tcPr>
          <w:p w:rsidR="00733532" w:rsidRDefault="00FF514B" w:rsidP="007836D7">
            <w:pPr>
              <w:pStyle w:val="PFCBulletedText2"/>
              <w:spacing w:before="120" w:after="0"/>
              <w:ind w:left="0" w:firstLine="0"/>
              <w:jc w:val="left"/>
              <w:rPr>
                <w:b/>
                <w:sz w:val="18"/>
                <w:szCs w:val="18"/>
              </w:rPr>
            </w:pPr>
            <w:r>
              <w:rPr>
                <w:b/>
                <w:noProof/>
                <w:sz w:val="18"/>
                <w:szCs w:val="18"/>
                <w:lang w:val="fr-FR" w:eastAsia="zh-CN"/>
              </w:rPr>
              <w:drawing>
                <wp:inline distT="0" distB="0" distL="0" distR="0">
                  <wp:extent cx="6314440" cy="252730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6314440" cy="2527300"/>
                          </a:xfrm>
                          <a:prstGeom prst="rect">
                            <a:avLst/>
                          </a:prstGeom>
                          <a:noFill/>
                          <a:ln w="9525">
                            <a:noFill/>
                            <a:miter lim="800000"/>
                            <a:headEnd/>
                            <a:tailEnd/>
                          </a:ln>
                        </pic:spPr>
                      </pic:pic>
                    </a:graphicData>
                  </a:graphic>
                </wp:inline>
              </w:drawing>
            </w:r>
          </w:p>
          <w:p w:rsidR="00733532" w:rsidRPr="009C3813" w:rsidRDefault="00733532" w:rsidP="007836D7">
            <w:pPr>
              <w:pStyle w:val="PFCBulletedText2"/>
              <w:spacing w:before="120" w:after="0"/>
              <w:ind w:left="0" w:firstLine="0"/>
              <w:jc w:val="left"/>
              <w:rPr>
                <w:b/>
                <w:sz w:val="18"/>
                <w:szCs w:val="18"/>
              </w:rPr>
            </w:pPr>
            <w:r>
              <w:rPr>
                <w:b/>
                <w:sz w:val="18"/>
                <w:szCs w:val="18"/>
              </w:rPr>
              <w:t xml:space="preserve">Figure </w:t>
            </w:r>
            <w:r w:rsidR="00E35536">
              <w:rPr>
                <w:b/>
                <w:sz w:val="18"/>
                <w:szCs w:val="18"/>
              </w:rPr>
              <w:t>7</w:t>
            </w:r>
            <w:r w:rsidR="004C2905">
              <w:rPr>
                <w:b/>
                <w:sz w:val="18"/>
                <w:szCs w:val="18"/>
              </w:rPr>
              <w:t>.</w:t>
            </w:r>
            <w:r>
              <w:rPr>
                <w:b/>
                <w:sz w:val="18"/>
                <w:szCs w:val="18"/>
              </w:rPr>
              <w:t>5</w:t>
            </w:r>
            <w:r w:rsidRPr="009C3813">
              <w:rPr>
                <w:b/>
                <w:sz w:val="18"/>
                <w:szCs w:val="18"/>
              </w:rPr>
              <w:t xml:space="preserve">: </w:t>
            </w:r>
            <w:r w:rsidRPr="00AD0BCD">
              <w:rPr>
                <w:rFonts w:eastAsia="SimSun"/>
                <w:b/>
                <w:smallCaps/>
                <w:lang w:val="en-GB"/>
              </w:rPr>
              <w:t xml:space="preserve"> </w:t>
            </w:r>
            <w:r>
              <w:rPr>
                <w:b/>
                <w:color w:val="141313" w:themeColor="text1"/>
                <w:sz w:val="18"/>
                <w:szCs w:val="18"/>
                <w:lang w:val="en-GB"/>
              </w:rPr>
              <w:t>Contracting Status of  US Lower 48 Liquefaction Projects, as of May 2013</w:t>
            </w:r>
            <w:r>
              <w:rPr>
                <w:rStyle w:val="Appelnotedebasdep"/>
                <w:b/>
                <w:color w:val="141313" w:themeColor="text1"/>
                <w:sz w:val="18"/>
                <w:szCs w:val="18"/>
                <w:lang w:val="en-GB"/>
              </w:rPr>
              <w:footnoteReference w:id="11"/>
            </w:r>
          </w:p>
          <w:p w:rsidR="00733532" w:rsidRPr="00494081" w:rsidRDefault="00733532" w:rsidP="007836D7">
            <w:pPr>
              <w:pStyle w:val="PFCBulletedText2"/>
              <w:ind w:left="0" w:firstLine="0"/>
              <w:jc w:val="left"/>
              <w:rPr>
                <w:sz w:val="16"/>
                <w:szCs w:val="16"/>
              </w:rPr>
            </w:pPr>
            <w:r w:rsidRPr="0024517D">
              <w:rPr>
                <w:i/>
                <w:sz w:val="16"/>
                <w:szCs w:val="16"/>
              </w:rPr>
              <w:t xml:space="preserve">Source: </w:t>
            </w:r>
            <w:r>
              <w:rPr>
                <w:i/>
                <w:sz w:val="16"/>
                <w:szCs w:val="16"/>
              </w:rPr>
              <w:t>PFC Energy Global LNG Service, Company Announcements</w:t>
            </w:r>
          </w:p>
        </w:tc>
      </w:tr>
    </w:tbl>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C10632">
        <w:rPr>
          <w:sz w:val="18"/>
          <w:lang w:val="en-GB"/>
        </w:rPr>
        <w:t>The emergence of new importing countries later in the decade has also led to a diversification of market shares, with additions from South America, South &amp; Southeast Asia, and the Middle East. While LNG capacity is expected to stagnate along with demand in traditional North American and European markets, East Asia will continue to experience growth, with planned capacity additions in Japan, Korea, and especially China. Emerging markets are also expected to continue to grow, with a major expansion of regasification capacity expected from South and Southeast Asia, and to a lesser extent South America and the Middle East.</w:t>
      </w:r>
    </w:p>
    <w:p w:rsidR="00733532" w:rsidRDefault="00645870" w:rsidP="00645870">
      <w:pPr>
        <w:pStyle w:val="Titre2"/>
        <w:ind w:left="180"/>
        <w:rPr>
          <w:lang w:val="en-GB"/>
        </w:rPr>
      </w:pPr>
      <w:bookmarkStart w:id="43" w:name="_Toc360628264"/>
      <w:r>
        <w:rPr>
          <w:lang w:val="en-GB"/>
        </w:rPr>
        <w:t>7</w:t>
      </w:r>
      <w:r w:rsidR="00733532">
        <w:rPr>
          <w:lang w:val="en-GB"/>
        </w:rPr>
        <w:t xml:space="preserve">.4 </w:t>
      </w:r>
      <w:r w:rsidR="00733532" w:rsidRPr="006A3EA4">
        <w:rPr>
          <w:lang w:val="en-GB"/>
        </w:rPr>
        <w:t>COMMERCIAL RISKS FACING PROPOSED NORTH AMERICAN LIQUEFACTION PROJECTS</w:t>
      </w:r>
      <w:bookmarkEnd w:id="43"/>
    </w:p>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6A3EA4">
        <w:rPr>
          <w:sz w:val="18"/>
          <w:lang w:val="en-GB"/>
        </w:rPr>
        <w:t xml:space="preserve">One of the major factors leading to the proposal of so many North American projects is the large price differential between Henry Hub and oil-linked LNG prices. This has opposite effects on the commercial risks for projects </w:t>
      </w:r>
      <w:r>
        <w:rPr>
          <w:sz w:val="18"/>
          <w:lang w:val="en-GB"/>
        </w:rPr>
        <w:t>i</w:t>
      </w:r>
      <w:r w:rsidRPr="006A3EA4">
        <w:rPr>
          <w:sz w:val="18"/>
          <w:lang w:val="en-GB"/>
        </w:rPr>
        <w:t>n the US Lower 48 and those in Canada.</w:t>
      </w:r>
    </w:p>
    <w:p w:rsidR="00733532" w:rsidRPr="00FF514B" w:rsidRDefault="00073EEA" w:rsidP="00733532">
      <w:pPr>
        <w:spacing w:line="252" w:lineRule="auto"/>
        <w:ind w:left="180"/>
        <w:jc w:val="both"/>
        <w:rPr>
          <w:color w:val="FF0000"/>
          <w:sz w:val="18"/>
          <w:lang w:val="en-GB"/>
        </w:rPr>
      </w:pPr>
      <w:r w:rsidRPr="00073EEA">
        <w:rPr>
          <w:noProof/>
          <w:sz w:val="18"/>
          <w:lang w:eastAsia="en-US"/>
        </w:rPr>
        <w:pict>
          <v:shape id="_x0000_s1075" type="#_x0000_t202" style="position:absolute;left:0;text-align:left;margin-left:-4.65pt;margin-top:4.3pt;width:116.6pt;height:60pt;z-index:251661312;mso-wrap-edited:f;mso-wrap-distance-left:14.4pt;mso-wrap-distance-right:14.4pt;mso-width-relative:margin;mso-height-relative:margin" wrapcoords="0 0 21600 0 21600 21600 0 21600 0 0" filled="f" stroked="f" strokecolor="silver">
            <v:fill o:detectmouseclick="t"/>
            <v:textbox inset=".72pt,0,.72pt,0">
              <w:txbxContent>
                <w:p w:rsidR="00856114" w:rsidRPr="003A5BDA" w:rsidRDefault="00856114" w:rsidP="00733532">
                  <w:pPr>
                    <w:rPr>
                      <w:b/>
                      <w:color w:val="1B82CE" w:themeColor="accent3"/>
                      <w:sz w:val="24"/>
                    </w:rPr>
                  </w:pPr>
                  <w:r>
                    <w:rPr>
                      <w:b/>
                      <w:color w:val="1B82CE" w:themeColor="accent3"/>
                      <w:sz w:val="24"/>
                    </w:rPr>
                    <w:t>49.7 MTPA</w:t>
                  </w:r>
                </w:p>
                <w:p w:rsidR="00856114" w:rsidRPr="003A5BDA" w:rsidRDefault="00856114" w:rsidP="00733532">
                  <w:pPr>
                    <w:jc w:val="both"/>
                    <w:rPr>
                      <w:i/>
                      <w:color w:val="1B82CE" w:themeColor="accent3"/>
                      <w:sz w:val="18"/>
                    </w:rPr>
                  </w:pPr>
                  <w:r>
                    <w:rPr>
                      <w:i/>
                      <w:color w:val="1B82CE" w:themeColor="accent3"/>
                      <w:sz w:val="18"/>
                    </w:rPr>
                    <w:t>Contracted LNG (including SPAs, HOAs, and Equity volumes) from the US Lower 48 as of May 2013</w:t>
                  </w:r>
                </w:p>
              </w:txbxContent>
            </v:textbox>
            <w10:wrap type="tight"/>
          </v:shape>
        </w:pict>
      </w:r>
    </w:p>
    <w:p w:rsidR="00733532" w:rsidRPr="006A3EA4" w:rsidRDefault="00645870" w:rsidP="00733532">
      <w:pPr>
        <w:spacing w:line="252" w:lineRule="auto"/>
        <w:ind w:left="180"/>
        <w:jc w:val="both"/>
        <w:rPr>
          <w:sz w:val="18"/>
          <w:lang w:val="en-GB"/>
        </w:rPr>
      </w:pPr>
      <w:r w:rsidRPr="00BD19CE">
        <w:rPr>
          <w:b/>
          <w:color w:val="215A99"/>
          <w:sz w:val="18"/>
          <w:lang w:val="en-GB"/>
        </w:rPr>
        <w:t>7</w:t>
      </w:r>
      <w:r w:rsidR="00733532" w:rsidRPr="00BD19CE">
        <w:rPr>
          <w:b/>
          <w:color w:val="215A99"/>
          <w:sz w:val="18"/>
          <w:lang w:val="en-GB"/>
        </w:rPr>
        <w:t>.4.1</w:t>
      </w:r>
      <w:r w:rsidR="00733532" w:rsidRPr="006A3EA4">
        <w:rPr>
          <w:b/>
          <w:color w:val="215A99"/>
          <w:sz w:val="18"/>
          <w:lang w:val="en-GB"/>
        </w:rPr>
        <w:t xml:space="preserve"> US COMMERCIAL RISKS: PROJECT COST (CAPEX).</w:t>
      </w:r>
      <w:r w:rsidR="00733532" w:rsidRPr="006A3EA4">
        <w:rPr>
          <w:sz w:val="18"/>
          <w:lang w:val="en-GB"/>
        </w:rPr>
        <w:t xml:space="preserve"> Given this differential and the perceived potential for major arbitrage, the commercial justification for many of the early US Gulf and East Coast projects is strong, though not without risks. Several large LNG traders are eager to sign up for offtake from US projects, both to diversify their sources of LNG and to take advantage of low US gas prices. Further, the costs of building liquefaction facilities are lower due to the extensive infrastructure at existing regasification terminals, including storage and berthing facilities. </w:t>
      </w:r>
    </w:p>
    <w:p w:rsidR="00733532" w:rsidRPr="006A3EA4"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6A3EA4">
        <w:rPr>
          <w:sz w:val="18"/>
          <w:lang w:val="en-GB"/>
        </w:rPr>
        <w:t xml:space="preserve">However, the small stature of most of the companies that have proposed the projects may be a barrier. Many companies were hesitant to take LNG from Sabine Pass due to the uncertainty surrounding the creditability of Cheniere, a small company with very little large-scale project experience. </w:t>
      </w:r>
      <w:r>
        <w:rPr>
          <w:sz w:val="18"/>
          <w:lang w:val="en-GB"/>
        </w:rPr>
        <w:t>T</w:t>
      </w:r>
      <w:r w:rsidRPr="006A3EA4">
        <w:rPr>
          <w:sz w:val="18"/>
          <w:lang w:val="en-GB"/>
        </w:rPr>
        <w:t xml:space="preserve">his risk was downsized when BG and others signed SPAs, showing confidence in the ability of a small-scale company to move forward, </w:t>
      </w:r>
      <w:r>
        <w:rPr>
          <w:sz w:val="18"/>
          <w:lang w:val="en-GB"/>
        </w:rPr>
        <w:t xml:space="preserve">and four other projects have since signed offtake or capacity contracts, for a total of Nonetheless, </w:t>
      </w:r>
      <w:r w:rsidRPr="006A3EA4">
        <w:rPr>
          <w:sz w:val="18"/>
          <w:lang w:val="en-GB"/>
        </w:rPr>
        <w:t>it remains a com</w:t>
      </w:r>
      <w:r>
        <w:rPr>
          <w:sz w:val="18"/>
          <w:lang w:val="en-GB"/>
        </w:rPr>
        <w:t xml:space="preserve">mercial risk for other projects, </w:t>
      </w:r>
      <w:r w:rsidRPr="006A3EA4">
        <w:rPr>
          <w:sz w:val="18"/>
          <w:lang w:val="en-GB"/>
        </w:rPr>
        <w:t xml:space="preserve">particularly those proposing greenfield facilities who have not demonstrated their ability to bring LNG import projects online.  </w:t>
      </w:r>
    </w:p>
    <w:p w:rsidR="00733532" w:rsidRDefault="00733532" w:rsidP="00733532">
      <w:pPr>
        <w:spacing w:line="252" w:lineRule="auto"/>
        <w:ind w:left="180"/>
        <w:jc w:val="both"/>
        <w:rPr>
          <w:sz w:val="18"/>
          <w:lang w:val="en-GB"/>
        </w:rPr>
      </w:pPr>
    </w:p>
    <w:p w:rsidR="00733532" w:rsidRDefault="00645870" w:rsidP="00733532">
      <w:pPr>
        <w:spacing w:line="252" w:lineRule="auto"/>
        <w:ind w:left="180"/>
        <w:jc w:val="both"/>
        <w:rPr>
          <w:sz w:val="18"/>
          <w:lang w:val="en-GB"/>
        </w:rPr>
      </w:pPr>
      <w:r>
        <w:rPr>
          <w:b/>
          <w:color w:val="215A99"/>
          <w:sz w:val="18"/>
          <w:lang w:val="en-GB"/>
        </w:rPr>
        <w:t>7</w:t>
      </w:r>
      <w:r w:rsidR="00733532">
        <w:rPr>
          <w:b/>
          <w:color w:val="215A99"/>
          <w:sz w:val="18"/>
          <w:lang w:val="en-GB"/>
        </w:rPr>
        <w:t>.</w:t>
      </w:r>
      <w:r w:rsidR="00733532" w:rsidRPr="006A3EA4">
        <w:rPr>
          <w:b/>
          <w:color w:val="215A99"/>
          <w:sz w:val="18"/>
          <w:lang w:val="en-GB"/>
        </w:rPr>
        <w:t>4.2 US COMMERCIAL RISKS: HENRY HUB.</w:t>
      </w:r>
      <w:r w:rsidR="00733532" w:rsidRPr="006A3EA4">
        <w:rPr>
          <w:sz w:val="18"/>
          <w:lang w:val="en-GB"/>
        </w:rPr>
        <w:t xml:space="preserve"> There is also an inherent commercial risk tied to the volatility of Henry Hub. When prices are as low as $3-4/MMBtu, LNG exports from the US are in high demand and competitive on a global scale. However, US gas prices are volatile, with prices as high as $12/MMBtu as recently as 2008.</w:t>
      </w:r>
    </w:p>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575C33">
        <w:rPr>
          <w:sz w:val="18"/>
          <w:lang w:val="en-GB"/>
        </w:rPr>
        <w:t>Looking retrospectively, if a contract similar to those signed at Sabine Pass had been in place over the past five years (wherein buyers pay the liquefaction owner a set premium of ~15% to Henry Hub for gas procurement in addition to a ~$3.00/</w:t>
      </w:r>
      <w:r w:rsidRPr="00F37AF3">
        <w:rPr>
          <w:sz w:val="18"/>
          <w:lang w:val="en-GB"/>
        </w:rPr>
        <w:t xml:space="preserve">MMBtu liquefaction charge) US-based LNG would only have been cheaper than oil-linked LNG delivered into Japan starting in 2010. Should Henry Hub rise above $5-6/MMBtu </w:t>
      </w:r>
      <w:r w:rsidR="00FF514B" w:rsidRPr="00F37AF3">
        <w:rPr>
          <w:sz w:val="18"/>
          <w:lang w:val="en-GB"/>
        </w:rPr>
        <w:t xml:space="preserve">or oil prices </w:t>
      </w:r>
      <w:r w:rsidR="00E52DDD">
        <w:rPr>
          <w:sz w:val="18"/>
          <w:lang w:val="en-GB"/>
        </w:rPr>
        <w:t>fall</w:t>
      </w:r>
      <w:r w:rsidR="00FF514B" w:rsidRPr="00F37AF3">
        <w:rPr>
          <w:sz w:val="18"/>
          <w:lang w:val="en-GB"/>
        </w:rPr>
        <w:t xml:space="preserve"> </w:t>
      </w:r>
      <w:r w:rsidRPr="00F37AF3">
        <w:rPr>
          <w:sz w:val="18"/>
          <w:lang w:val="en-GB"/>
        </w:rPr>
        <w:t>in the near</w:t>
      </w:r>
      <w:r w:rsidRPr="00575C33">
        <w:rPr>
          <w:sz w:val="18"/>
          <w:lang w:val="en-GB"/>
        </w:rPr>
        <w:t xml:space="preserve"> term, projects that have yet to sign contracts may be delayed as </w:t>
      </w:r>
      <w:r w:rsidRPr="00575C33">
        <w:rPr>
          <w:sz w:val="18"/>
          <w:lang w:val="en-GB"/>
        </w:rPr>
        <w:lastRenderedPageBreak/>
        <w:t>the appetite for US-based LNG diminishes.</w:t>
      </w:r>
      <w:r w:rsidRPr="006A3EA4">
        <w:rPr>
          <w:sz w:val="18"/>
          <w:lang w:val="en-GB"/>
        </w:rPr>
        <w:t xml:space="preserve">  </w:t>
      </w:r>
    </w:p>
    <w:tbl>
      <w:tblPr>
        <w:tblpPr w:leftFromText="180" w:rightFromText="180" w:vertAnchor="text" w:horzAnchor="margin" w:tblpY="8621"/>
        <w:tblW w:w="10394" w:type="dxa"/>
        <w:tblLayout w:type="fixed"/>
        <w:tblLook w:val="01E0"/>
      </w:tblPr>
      <w:tblGrid>
        <w:gridCol w:w="10394"/>
      </w:tblGrid>
      <w:tr w:rsidR="00BE4B16" w:rsidRPr="00A918C1" w:rsidTr="007E78F6">
        <w:trPr>
          <w:trHeight w:val="2953"/>
        </w:trPr>
        <w:tc>
          <w:tcPr>
            <w:tcW w:w="10394" w:type="dxa"/>
          </w:tcPr>
          <w:p w:rsidR="00BE4B16" w:rsidRDefault="00BE4B16" w:rsidP="007E78F6">
            <w:pPr>
              <w:pStyle w:val="PFCBulletedText2"/>
              <w:spacing w:before="120" w:after="0"/>
              <w:ind w:left="0" w:firstLine="0"/>
              <w:jc w:val="left"/>
              <w:rPr>
                <w:b/>
                <w:sz w:val="18"/>
                <w:szCs w:val="18"/>
              </w:rPr>
            </w:pPr>
            <w:r w:rsidRPr="00334C6C">
              <w:rPr>
                <w:b/>
                <w:noProof/>
                <w:sz w:val="18"/>
                <w:szCs w:val="18"/>
                <w:lang w:val="fr-FR" w:eastAsia="zh-CN"/>
              </w:rPr>
              <w:drawing>
                <wp:inline distT="0" distB="0" distL="0" distR="0">
                  <wp:extent cx="6337300" cy="2541270"/>
                  <wp:effectExtent l="19050" t="0" r="635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srcRect/>
                          <a:stretch>
                            <a:fillRect/>
                          </a:stretch>
                        </pic:blipFill>
                        <pic:spPr bwMode="auto">
                          <a:xfrm>
                            <a:off x="0" y="0"/>
                            <a:ext cx="6337300" cy="2541270"/>
                          </a:xfrm>
                          <a:prstGeom prst="rect">
                            <a:avLst/>
                          </a:prstGeom>
                          <a:noFill/>
                          <a:ln w="9525">
                            <a:noFill/>
                            <a:miter lim="800000"/>
                            <a:headEnd/>
                            <a:tailEnd/>
                          </a:ln>
                        </pic:spPr>
                      </pic:pic>
                    </a:graphicData>
                  </a:graphic>
                </wp:inline>
              </w:drawing>
            </w:r>
          </w:p>
          <w:p w:rsidR="00BE4B16" w:rsidRPr="009C3813" w:rsidRDefault="00BE4B16" w:rsidP="007E78F6">
            <w:pPr>
              <w:pStyle w:val="PFCBulletedText2"/>
              <w:spacing w:before="120" w:after="0"/>
              <w:ind w:left="0" w:firstLine="0"/>
              <w:jc w:val="left"/>
              <w:rPr>
                <w:b/>
                <w:sz w:val="18"/>
                <w:szCs w:val="18"/>
              </w:rPr>
            </w:pPr>
            <w:r>
              <w:rPr>
                <w:b/>
                <w:sz w:val="18"/>
                <w:szCs w:val="18"/>
              </w:rPr>
              <w:t>Figure 7.7</w:t>
            </w:r>
            <w:r w:rsidRPr="009C3813">
              <w:rPr>
                <w:b/>
                <w:sz w:val="18"/>
                <w:szCs w:val="18"/>
              </w:rPr>
              <w:t xml:space="preserve">: </w:t>
            </w:r>
            <w:r w:rsidRPr="00AD0BCD">
              <w:rPr>
                <w:rFonts w:eastAsia="SimSun"/>
                <w:b/>
                <w:smallCaps/>
                <w:lang w:val="en-GB"/>
              </w:rPr>
              <w:t xml:space="preserve"> </w:t>
            </w:r>
            <w:r>
              <w:rPr>
                <w:b/>
                <w:color w:val="141313" w:themeColor="text1"/>
                <w:sz w:val="18"/>
                <w:szCs w:val="18"/>
                <w:lang w:val="en-GB"/>
              </w:rPr>
              <w:t>Contracting Status of Canadian Liquefaction Projects, as of May 2013</w:t>
            </w:r>
          </w:p>
          <w:p w:rsidR="00BE4B16" w:rsidRPr="00494081" w:rsidRDefault="00BE4B16" w:rsidP="007E78F6">
            <w:pPr>
              <w:pStyle w:val="PFCBulletedText2"/>
              <w:ind w:left="0" w:firstLine="0"/>
              <w:jc w:val="left"/>
              <w:rPr>
                <w:sz w:val="16"/>
                <w:szCs w:val="16"/>
              </w:rPr>
            </w:pPr>
            <w:r w:rsidRPr="0024517D">
              <w:rPr>
                <w:i/>
                <w:sz w:val="16"/>
                <w:szCs w:val="16"/>
              </w:rPr>
              <w:t xml:space="preserve">Source: </w:t>
            </w:r>
            <w:r>
              <w:rPr>
                <w:i/>
                <w:sz w:val="16"/>
                <w:szCs w:val="16"/>
              </w:rPr>
              <w:t>PFC Energy Global LNG Service, Company Announcements</w:t>
            </w:r>
          </w:p>
        </w:tc>
      </w:tr>
    </w:tbl>
    <w:p w:rsidR="00733532" w:rsidRDefault="00733532" w:rsidP="00733532">
      <w:pPr>
        <w:spacing w:line="252" w:lineRule="auto"/>
        <w:ind w:left="180"/>
        <w:jc w:val="both"/>
        <w:rPr>
          <w:sz w:val="18"/>
          <w:lang w:val="en-GB"/>
        </w:rPr>
      </w:pPr>
    </w:p>
    <w:p w:rsidR="00733532" w:rsidRDefault="00733532" w:rsidP="00733532">
      <w:pPr>
        <w:spacing w:line="252" w:lineRule="auto"/>
        <w:ind w:left="180"/>
        <w:jc w:val="both"/>
        <w:rPr>
          <w:sz w:val="18"/>
          <w:lang w:val="en-GB"/>
        </w:rPr>
      </w:pPr>
      <w:r w:rsidRPr="00F75D38">
        <w:rPr>
          <w:sz w:val="18"/>
          <w:lang w:val="en-GB"/>
        </w:rPr>
        <w:t>Further, several projects have been proposed in states fairly distant from Henry Hub, such as Oregon and Maryland. Although these locations are not as divorced from the US pipeline grid as projects in Western Canada, the variations in local infrastructure and distance from producing regions may present a risk to projects. Buyers</w:t>
      </w:r>
    </w:p>
    <w:p w:rsidR="00733532" w:rsidRPr="00F75D38" w:rsidRDefault="00733532" w:rsidP="00733532">
      <w:pPr>
        <w:spacing w:line="252" w:lineRule="auto"/>
        <w:ind w:left="180"/>
        <w:jc w:val="both"/>
        <w:rPr>
          <w:sz w:val="18"/>
          <w:lang w:val="en-GB"/>
        </w:rPr>
      </w:pPr>
      <w:proofErr w:type="gramStart"/>
      <w:r w:rsidRPr="00F75D38">
        <w:rPr>
          <w:sz w:val="18"/>
          <w:lang w:val="en-GB"/>
        </w:rPr>
        <w:t>expect</w:t>
      </w:r>
      <w:proofErr w:type="gramEnd"/>
      <w:r w:rsidRPr="00F75D38">
        <w:rPr>
          <w:sz w:val="18"/>
          <w:lang w:val="en-GB"/>
        </w:rPr>
        <w:t xml:space="preserve"> Henry Hub pricing from US projects, and sellers may not always be able to reliably procure gas at the Hub price, particularly in times of peak gas demand, when prices in different regions of the US can vary significantly. </w:t>
      </w:r>
    </w:p>
    <w:tbl>
      <w:tblPr>
        <w:tblpPr w:leftFromText="180" w:rightFromText="180" w:vertAnchor="text" w:horzAnchor="margin" w:tblpY="112"/>
        <w:tblW w:w="4975" w:type="dxa"/>
        <w:tblLayout w:type="fixed"/>
        <w:tblLook w:val="01E0"/>
      </w:tblPr>
      <w:tblGrid>
        <w:gridCol w:w="4975"/>
      </w:tblGrid>
      <w:tr w:rsidR="00733532" w:rsidRPr="00A918C1" w:rsidTr="007836D7">
        <w:trPr>
          <w:trHeight w:val="2938"/>
        </w:trPr>
        <w:tc>
          <w:tcPr>
            <w:tcW w:w="4975" w:type="dxa"/>
          </w:tcPr>
          <w:p w:rsidR="00733532" w:rsidRDefault="00733532" w:rsidP="007836D7">
            <w:pPr>
              <w:pStyle w:val="PFCBulletedText2"/>
              <w:spacing w:before="120" w:after="0"/>
              <w:ind w:left="0" w:firstLine="0"/>
              <w:jc w:val="left"/>
              <w:rPr>
                <w:noProof/>
                <w:lang w:eastAsia="en-US"/>
              </w:rPr>
            </w:pPr>
            <w:r>
              <w:rPr>
                <w:noProof/>
                <w:lang w:val="fr-FR" w:eastAsia="zh-CN"/>
              </w:rPr>
              <w:drawing>
                <wp:inline distT="0" distB="0" distL="0" distR="0">
                  <wp:extent cx="3021330" cy="2099310"/>
                  <wp:effectExtent l="19050" t="0" r="7620" b="0"/>
                  <wp:docPr id="1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srcRect/>
                          <a:stretch>
                            <a:fillRect/>
                          </a:stretch>
                        </pic:blipFill>
                        <pic:spPr bwMode="auto">
                          <a:xfrm>
                            <a:off x="0" y="0"/>
                            <a:ext cx="3021330" cy="2099310"/>
                          </a:xfrm>
                          <a:prstGeom prst="rect">
                            <a:avLst/>
                          </a:prstGeom>
                          <a:noFill/>
                          <a:ln w="9525">
                            <a:noFill/>
                            <a:miter lim="800000"/>
                            <a:headEnd/>
                            <a:tailEnd/>
                          </a:ln>
                        </pic:spPr>
                      </pic:pic>
                    </a:graphicData>
                  </a:graphic>
                </wp:inline>
              </w:drawing>
            </w:r>
          </w:p>
          <w:p w:rsidR="00733532" w:rsidRDefault="00733532" w:rsidP="007836D7">
            <w:pPr>
              <w:pStyle w:val="PFCBulletedText2"/>
              <w:ind w:left="0" w:firstLine="0"/>
              <w:jc w:val="left"/>
              <w:rPr>
                <w:b/>
                <w:sz w:val="18"/>
                <w:szCs w:val="18"/>
              </w:rPr>
            </w:pPr>
            <w:r>
              <w:rPr>
                <w:b/>
                <w:sz w:val="18"/>
                <w:szCs w:val="18"/>
              </w:rPr>
              <w:t xml:space="preserve">Figure </w:t>
            </w:r>
            <w:r w:rsidR="00E35536">
              <w:rPr>
                <w:b/>
                <w:sz w:val="18"/>
                <w:szCs w:val="18"/>
              </w:rPr>
              <w:t>7</w:t>
            </w:r>
            <w:r w:rsidR="004C2905">
              <w:rPr>
                <w:b/>
                <w:sz w:val="18"/>
                <w:szCs w:val="18"/>
              </w:rPr>
              <w:t>.</w:t>
            </w:r>
            <w:r>
              <w:rPr>
                <w:b/>
                <w:sz w:val="18"/>
                <w:szCs w:val="18"/>
              </w:rPr>
              <w:t>6</w:t>
            </w:r>
            <w:r w:rsidRPr="005733C3">
              <w:rPr>
                <w:b/>
                <w:sz w:val="18"/>
                <w:szCs w:val="18"/>
              </w:rPr>
              <w:t xml:space="preserve">:  </w:t>
            </w:r>
            <w:r w:rsidRPr="007C35B1">
              <w:rPr>
                <w:rFonts w:eastAsia="SimSun"/>
                <w:b/>
                <w:smallCaps/>
                <w:lang w:val="en-GB"/>
              </w:rPr>
              <w:t xml:space="preserve"> </w:t>
            </w:r>
            <w:r>
              <w:rPr>
                <w:b/>
                <w:color w:val="141313" w:themeColor="text1"/>
                <w:sz w:val="18"/>
                <w:szCs w:val="18"/>
                <w:lang w:val="en-GB"/>
              </w:rPr>
              <w:t>Comparison of Henry Hub vs. Oil-Linked LNG Prices</w:t>
            </w:r>
          </w:p>
          <w:p w:rsidR="00733532" w:rsidRPr="002055A2" w:rsidRDefault="00733532" w:rsidP="007836D7">
            <w:pPr>
              <w:pStyle w:val="PFCBulletedText2"/>
              <w:ind w:left="0" w:firstLine="0"/>
              <w:jc w:val="left"/>
              <w:rPr>
                <w:b/>
                <w:sz w:val="18"/>
                <w:szCs w:val="18"/>
              </w:rPr>
            </w:pPr>
            <w:r>
              <w:rPr>
                <w:i/>
                <w:sz w:val="16"/>
                <w:szCs w:val="16"/>
              </w:rPr>
              <w:t>Note: High case Henry Hub into Asia assumes shipping through the Suez Canal; prices would drop if routed through the Panama Canal. S</w:t>
            </w:r>
            <w:r w:rsidRPr="005733C3">
              <w:rPr>
                <w:i/>
                <w:sz w:val="16"/>
                <w:szCs w:val="16"/>
              </w:rPr>
              <w:t xml:space="preserve">ources: PFC Energy </w:t>
            </w:r>
            <w:r>
              <w:rPr>
                <w:i/>
                <w:sz w:val="16"/>
                <w:szCs w:val="16"/>
              </w:rPr>
              <w:t xml:space="preserve">Global LNG </w:t>
            </w:r>
            <w:r w:rsidRPr="005733C3">
              <w:rPr>
                <w:i/>
                <w:sz w:val="16"/>
                <w:szCs w:val="16"/>
              </w:rPr>
              <w:t>Service</w:t>
            </w:r>
          </w:p>
        </w:tc>
      </w:tr>
    </w:tbl>
    <w:p w:rsidR="00733532" w:rsidRPr="006A3EA4" w:rsidRDefault="00733532" w:rsidP="00733532">
      <w:pPr>
        <w:spacing w:line="252" w:lineRule="auto"/>
        <w:ind w:left="180"/>
        <w:jc w:val="both"/>
        <w:rPr>
          <w:sz w:val="18"/>
          <w:lang w:val="en-GB"/>
        </w:rPr>
      </w:pPr>
    </w:p>
    <w:p w:rsidR="00733532" w:rsidRPr="00F75D38" w:rsidRDefault="00645870" w:rsidP="00733532">
      <w:pPr>
        <w:spacing w:line="252" w:lineRule="auto"/>
        <w:ind w:left="180"/>
        <w:jc w:val="both"/>
        <w:rPr>
          <w:sz w:val="18"/>
          <w:lang w:val="en-GB"/>
        </w:rPr>
      </w:pPr>
      <w:r>
        <w:rPr>
          <w:b/>
          <w:color w:val="215A99"/>
          <w:sz w:val="18"/>
          <w:lang w:val="en-GB"/>
        </w:rPr>
        <w:t>7</w:t>
      </w:r>
      <w:r w:rsidR="00733532">
        <w:rPr>
          <w:b/>
          <w:color w:val="215A99"/>
          <w:sz w:val="18"/>
          <w:lang w:val="en-GB"/>
        </w:rPr>
        <w:t>.</w:t>
      </w:r>
      <w:r w:rsidR="00733532" w:rsidRPr="006A3EA4">
        <w:rPr>
          <w:b/>
          <w:color w:val="215A99"/>
          <w:sz w:val="18"/>
          <w:lang w:val="en-GB"/>
        </w:rPr>
        <w:t>4.3 CANADA COMMERCIAL RISKS: PROJECT COST (CAPEX).</w:t>
      </w:r>
      <w:r w:rsidR="00733532" w:rsidRPr="006A3EA4">
        <w:rPr>
          <w:sz w:val="18"/>
          <w:lang w:val="en-GB"/>
        </w:rPr>
        <w:t xml:space="preserve"> The commercial position of liquefaction proposals in Western Canada is weakened by the need for </w:t>
      </w:r>
      <w:proofErr w:type="gramStart"/>
      <w:r w:rsidR="00733532" w:rsidRPr="006A3EA4">
        <w:rPr>
          <w:sz w:val="18"/>
          <w:lang w:val="en-GB"/>
        </w:rPr>
        <w:t>greenfield</w:t>
      </w:r>
      <w:proofErr w:type="gramEnd"/>
      <w:r w:rsidR="00733532" w:rsidRPr="006A3EA4">
        <w:rPr>
          <w:sz w:val="18"/>
          <w:lang w:val="en-GB"/>
        </w:rPr>
        <w:t xml:space="preserve"> facilities, as well as the early stage of development of the shale gas resource play in Western </w:t>
      </w:r>
      <w:r w:rsidR="00733532" w:rsidRPr="006A3EA4">
        <w:rPr>
          <w:sz w:val="18"/>
          <w:lang w:val="en-GB"/>
        </w:rPr>
        <w:lastRenderedPageBreak/>
        <w:t xml:space="preserve">Canada. Based on announced costs, projects in Western Canada face inexpensive liquefaction </w:t>
      </w:r>
      <w:r w:rsidR="00733532" w:rsidRPr="004E0FFA">
        <w:rPr>
          <w:sz w:val="18"/>
          <w:lang w:val="en-GB"/>
        </w:rPr>
        <w:t>costs (~$1,000 /ton)</w:t>
      </w:r>
      <w:r w:rsidR="00733532">
        <w:rPr>
          <w:sz w:val="18"/>
          <w:lang w:val="en-GB"/>
        </w:rPr>
        <w:t xml:space="preserve"> </w:t>
      </w:r>
      <w:r w:rsidR="00733532" w:rsidRPr="00F75D38">
        <w:rPr>
          <w:sz w:val="18"/>
          <w:lang w:val="en-GB"/>
        </w:rPr>
        <w:t xml:space="preserve">relative to </w:t>
      </w:r>
      <w:proofErr w:type="gramStart"/>
      <w:r w:rsidR="00733532" w:rsidRPr="00F75D38">
        <w:rPr>
          <w:sz w:val="18"/>
          <w:lang w:val="en-GB"/>
        </w:rPr>
        <w:t>greenfield</w:t>
      </w:r>
      <w:proofErr w:type="gramEnd"/>
      <w:r w:rsidR="00733532" w:rsidRPr="00F75D38">
        <w:rPr>
          <w:sz w:val="18"/>
          <w:lang w:val="en-GB"/>
        </w:rPr>
        <w:t xml:space="preserve"> projects in Australia</w:t>
      </w:r>
      <w:r w:rsidR="00733532" w:rsidRPr="00F37AF3">
        <w:rPr>
          <w:sz w:val="18"/>
          <w:lang w:val="en-GB"/>
        </w:rPr>
        <w:t xml:space="preserve">. However, a major factor affecting Western Canadian projects </w:t>
      </w:r>
      <w:r w:rsidR="00FF514B" w:rsidRPr="00F37AF3">
        <w:rPr>
          <w:sz w:val="18"/>
          <w:lang w:val="en-GB"/>
        </w:rPr>
        <w:t>is</w:t>
      </w:r>
      <w:r w:rsidR="00733532" w:rsidRPr="00F37AF3">
        <w:rPr>
          <w:sz w:val="18"/>
          <w:lang w:val="en-GB"/>
        </w:rPr>
        <w:t xml:space="preserve"> the need for a long, expensive pipeline to bring gas from</w:t>
      </w:r>
      <w:r w:rsidR="00733532" w:rsidRPr="00F75D38">
        <w:rPr>
          <w:sz w:val="18"/>
          <w:lang w:val="en-GB"/>
        </w:rPr>
        <w:t xml:space="preserve"> eastern British Columbia to the Coast. Currently, pipeline infrastructure in British Columbia is limited, with one major north-south </w:t>
      </w:r>
      <w:proofErr w:type="spellStart"/>
      <w:r w:rsidR="00733532" w:rsidRPr="00F75D38">
        <w:rPr>
          <w:sz w:val="18"/>
          <w:lang w:val="en-GB"/>
        </w:rPr>
        <w:t>trunkline</w:t>
      </w:r>
      <w:proofErr w:type="spellEnd"/>
      <w:r w:rsidR="00733532" w:rsidRPr="00F75D38">
        <w:rPr>
          <w:sz w:val="18"/>
          <w:lang w:val="en-GB"/>
        </w:rPr>
        <w:t xml:space="preserve"> and a smaller pipeline running west to the coast. As of may 2013, four projects have proposed building ~500 mile pipelines with costs of between $1,000/mmcf/d - $3,000/mmcf/d, which will significantly increase total project costs.     </w:t>
      </w:r>
    </w:p>
    <w:p w:rsidR="00733532" w:rsidRPr="006A3EA4" w:rsidRDefault="00733532" w:rsidP="00733532">
      <w:pPr>
        <w:spacing w:line="252" w:lineRule="auto"/>
        <w:ind w:left="180"/>
        <w:jc w:val="both"/>
        <w:rPr>
          <w:sz w:val="18"/>
          <w:lang w:val="en-GB"/>
        </w:rPr>
      </w:pPr>
    </w:p>
    <w:p w:rsidR="00733532" w:rsidRDefault="00645870" w:rsidP="00733532">
      <w:pPr>
        <w:spacing w:line="252" w:lineRule="auto"/>
        <w:ind w:left="180"/>
        <w:jc w:val="both"/>
        <w:rPr>
          <w:sz w:val="18"/>
          <w:lang w:val="en-GB"/>
        </w:rPr>
      </w:pPr>
      <w:r>
        <w:rPr>
          <w:b/>
          <w:color w:val="215A99"/>
          <w:sz w:val="18"/>
          <w:lang w:val="en-GB"/>
        </w:rPr>
        <w:t>7</w:t>
      </w:r>
      <w:r w:rsidR="00733532">
        <w:rPr>
          <w:b/>
          <w:color w:val="215A99"/>
          <w:sz w:val="18"/>
          <w:lang w:val="en-GB"/>
        </w:rPr>
        <w:t>.</w:t>
      </w:r>
      <w:r w:rsidR="00733532" w:rsidRPr="006A3EA4">
        <w:rPr>
          <w:b/>
          <w:color w:val="215A99"/>
          <w:sz w:val="18"/>
          <w:lang w:val="en-GB"/>
        </w:rPr>
        <w:t xml:space="preserve">4.4 CANADA COMMERCIAL RISKS: HENRY HUB. </w:t>
      </w:r>
      <w:r w:rsidR="00733532" w:rsidRPr="006A3EA4">
        <w:rPr>
          <w:sz w:val="18"/>
          <w:lang w:val="en-GB"/>
        </w:rPr>
        <w:t xml:space="preserve">These factors are exacerbated by the tension between Asian buyers’ insistence on Henry Hub pricing and the sellers’ preference for oil-linked prices </w:t>
      </w:r>
      <w:r w:rsidR="00733532" w:rsidRPr="00F37AF3">
        <w:rPr>
          <w:sz w:val="18"/>
          <w:lang w:val="en-GB"/>
        </w:rPr>
        <w:t xml:space="preserve">– a difference that has so far been hard to reconcile. Project costs </w:t>
      </w:r>
      <w:r w:rsidR="00FF514B" w:rsidRPr="00F37AF3">
        <w:rPr>
          <w:sz w:val="18"/>
          <w:lang w:val="en-GB"/>
        </w:rPr>
        <w:t xml:space="preserve">in Canada </w:t>
      </w:r>
      <w:r w:rsidR="00733532" w:rsidRPr="00F37AF3">
        <w:rPr>
          <w:sz w:val="18"/>
          <w:lang w:val="en-GB"/>
        </w:rPr>
        <w:t>far exceed counterpart projects in the United States where the natural gas market is much more liquid.  Moreover, the distance between the proposed export facilities and the</w:t>
      </w:r>
      <w:r w:rsidR="00733532" w:rsidRPr="00F75D38">
        <w:rPr>
          <w:sz w:val="18"/>
          <w:lang w:val="en-GB"/>
        </w:rPr>
        <w:t xml:space="preserve"> North American gas pipeline grid is large, and connections are small in both capacity and number. Exporting Henry Hub-linked LNG is risky because it forces sellers to produce no matter what happens to Henry </w:t>
      </w:r>
      <w:r w:rsidR="00733532" w:rsidRPr="00F37AF3">
        <w:rPr>
          <w:sz w:val="18"/>
          <w:lang w:val="en-GB"/>
        </w:rPr>
        <w:t xml:space="preserve">Hub, at a production cost largely divorced from the Hub. This is a problem because Western Canada shale gas will likely be more expensive than the marginal acreage that </w:t>
      </w:r>
      <w:r w:rsidR="00FF514B" w:rsidRPr="00F37AF3">
        <w:rPr>
          <w:sz w:val="18"/>
          <w:lang w:val="en-GB"/>
        </w:rPr>
        <w:t>sets</w:t>
      </w:r>
      <w:r w:rsidR="00733532" w:rsidRPr="00F37AF3">
        <w:rPr>
          <w:sz w:val="18"/>
          <w:lang w:val="en-GB"/>
        </w:rPr>
        <w:t xml:space="preserve"> Henry Hub</w:t>
      </w:r>
      <w:r w:rsidR="00FF514B" w:rsidRPr="00F37AF3">
        <w:rPr>
          <w:sz w:val="18"/>
          <w:lang w:val="en-GB"/>
        </w:rPr>
        <w:t xml:space="preserve"> prices</w:t>
      </w:r>
      <w:r w:rsidR="00733532" w:rsidRPr="00F37AF3">
        <w:rPr>
          <w:sz w:val="18"/>
          <w:lang w:val="en-GB"/>
        </w:rPr>
        <w:t xml:space="preserve">. Despite numerous marketing leads for </w:t>
      </w:r>
      <w:r w:rsidR="00733532" w:rsidRPr="006A3EA4">
        <w:rPr>
          <w:sz w:val="18"/>
          <w:lang w:val="en-GB"/>
        </w:rPr>
        <w:t>Western Canada’s slate of projects, there are currently no finalized agreements with Asia Pacific buyers</w:t>
      </w:r>
      <w:r w:rsidR="00733532">
        <w:rPr>
          <w:sz w:val="18"/>
          <w:lang w:val="en-GB"/>
        </w:rPr>
        <w:t>.</w:t>
      </w:r>
      <w:r w:rsidR="00733532" w:rsidRPr="006A3EA4">
        <w:rPr>
          <w:sz w:val="18"/>
          <w:lang w:val="en-GB"/>
        </w:rPr>
        <w:t xml:space="preserve"> </w:t>
      </w:r>
    </w:p>
    <w:p w:rsidR="00733532" w:rsidRDefault="00733532" w:rsidP="00733532">
      <w:pPr>
        <w:spacing w:line="252" w:lineRule="auto"/>
        <w:ind w:left="180"/>
        <w:jc w:val="both"/>
        <w:rPr>
          <w:sz w:val="18"/>
          <w:lang w:val="en-GB"/>
        </w:rPr>
      </w:pPr>
    </w:p>
    <w:p w:rsidR="00407EE8" w:rsidRDefault="00733532" w:rsidP="00733532">
      <w:pPr>
        <w:spacing w:line="252" w:lineRule="auto"/>
        <w:ind w:left="180"/>
        <w:jc w:val="both"/>
        <w:rPr>
          <w:sz w:val="18"/>
          <w:lang w:val="en-GB"/>
        </w:rPr>
      </w:pPr>
      <w:r w:rsidRPr="006A3EA4">
        <w:rPr>
          <w:sz w:val="18"/>
          <w:lang w:val="en-GB"/>
        </w:rPr>
        <w:t>A few projects have attempted to circumvent this issue by creating an integrated project, where likely offtakers have stakes in the upstream. This is the case with LNG Canada and Pacific Northwest LNG; both projects include Asian players in their upstream and liq</w:t>
      </w:r>
      <w:r>
        <w:rPr>
          <w:sz w:val="18"/>
          <w:lang w:val="en-GB"/>
        </w:rPr>
        <w:t xml:space="preserve">uefaction ownership structures </w:t>
      </w:r>
      <w:r w:rsidRPr="006A3EA4">
        <w:rPr>
          <w:sz w:val="18"/>
          <w:lang w:val="en-GB"/>
        </w:rPr>
        <w:t xml:space="preserve">that would likely take LNG back to their home markets, though internal transfer pricing would need to be </w:t>
      </w:r>
      <w:r>
        <w:rPr>
          <w:sz w:val="18"/>
          <w:lang w:val="en-GB"/>
        </w:rPr>
        <w:t>negotiated between the partners.</w:t>
      </w:r>
    </w:p>
    <w:p w:rsidR="00DF692D" w:rsidRPr="001B55B3" w:rsidRDefault="00DF692D" w:rsidP="001B55B3">
      <w:pPr>
        <w:widowControl/>
        <w:rPr>
          <w:sz w:val="18"/>
          <w:lang w:val="en-GB"/>
        </w:rPr>
        <w:sectPr w:rsidR="00DF692D" w:rsidRPr="001B55B3" w:rsidSect="00E757B1">
          <w:type w:val="continuous"/>
          <w:pgSz w:w="12240" w:h="15840" w:code="1"/>
          <w:pgMar w:top="1728" w:right="1080" w:bottom="1080" w:left="1008" w:header="720" w:footer="504" w:gutter="0"/>
          <w:cols w:num="2" w:space="432"/>
          <w:docGrid w:linePitch="272"/>
        </w:sectPr>
      </w:pPr>
    </w:p>
    <w:p w:rsidR="00DF692D" w:rsidRPr="00BE4B16" w:rsidRDefault="00645870" w:rsidP="00BE4B16">
      <w:pPr>
        <w:pStyle w:val="Titre1"/>
      </w:pPr>
      <w:bookmarkStart w:id="44" w:name="_Toc360628265"/>
      <w:r w:rsidRPr="00BE4B16">
        <w:lastRenderedPageBreak/>
        <w:t>8</w:t>
      </w:r>
      <w:r w:rsidR="00DF692D" w:rsidRPr="00BE4B16">
        <w:t xml:space="preserve">.  </w:t>
      </w:r>
      <w:r w:rsidR="0053358C" w:rsidRPr="00BE4B16">
        <w:t xml:space="preserve">Special Report on </w:t>
      </w:r>
      <w:r w:rsidR="00DF692D" w:rsidRPr="00BE4B16">
        <w:t>LNG as Fuel for Transportation</w:t>
      </w:r>
      <w:bookmarkEnd w:id="44"/>
    </w:p>
    <w:p w:rsidR="00DF692D" w:rsidRDefault="00DF692D">
      <w:pPr>
        <w:widowControl/>
        <w:rPr>
          <w:sz w:val="18"/>
          <w:lang w:val="en-GB"/>
        </w:rPr>
        <w:sectPr w:rsidR="00DF692D" w:rsidSect="00DF692D">
          <w:type w:val="continuous"/>
          <w:pgSz w:w="12240" w:h="15840" w:code="1"/>
          <w:pgMar w:top="1728" w:right="1080" w:bottom="1080" w:left="1008" w:header="720" w:footer="504" w:gutter="0"/>
          <w:cols w:space="432"/>
          <w:docGrid w:linePitch="272"/>
        </w:sectPr>
      </w:pPr>
    </w:p>
    <w:p w:rsidR="00180BEA" w:rsidRDefault="00180BEA" w:rsidP="003F3C01">
      <w:pPr>
        <w:spacing w:after="120" w:line="252" w:lineRule="auto"/>
        <w:jc w:val="both"/>
        <w:rPr>
          <w:b/>
          <w:i/>
          <w:color w:val="215A99"/>
          <w:sz w:val="18"/>
          <w:szCs w:val="22"/>
          <w:lang w:val="en-GB"/>
        </w:rPr>
      </w:pPr>
      <w:r w:rsidRPr="00180BEA">
        <w:rPr>
          <w:b/>
          <w:i/>
          <w:color w:val="215A99"/>
          <w:sz w:val="18"/>
          <w:szCs w:val="22"/>
          <w:lang w:val="en-GB"/>
        </w:rPr>
        <w:lastRenderedPageBreak/>
        <w:t xml:space="preserve">In  most  countries,  LNG  is  major  feedstock  for  power  and industrial  sector,  but its  use  in transport is marginal.   Nevertheless, there are several factors that indicate that the transport fuel application could revolutionize LNG demand. </w:t>
      </w:r>
    </w:p>
    <w:p w:rsidR="00180BEA" w:rsidRDefault="00180BEA" w:rsidP="00180BEA">
      <w:pPr>
        <w:jc w:val="both"/>
        <w:rPr>
          <w:i/>
          <w:color w:val="215A99"/>
          <w:sz w:val="18"/>
          <w:szCs w:val="22"/>
          <w:lang w:val="en-GB"/>
        </w:rPr>
      </w:pPr>
      <w:r w:rsidRPr="009455CE">
        <w:rPr>
          <w:i/>
          <w:color w:val="215A99"/>
          <w:sz w:val="18"/>
          <w:szCs w:val="22"/>
          <w:lang w:val="en-GB"/>
        </w:rPr>
        <w:t>Within the transportation sector, LNG has the potential to penetrate the market for ship</w:t>
      </w:r>
      <w:r>
        <w:rPr>
          <w:i/>
          <w:color w:val="215A99"/>
          <w:sz w:val="18"/>
          <w:szCs w:val="22"/>
          <w:lang w:val="en-GB"/>
        </w:rPr>
        <w:t xml:space="preserve">ping fuels and heavy </w:t>
      </w:r>
      <w:r w:rsidRPr="00D168AD">
        <w:rPr>
          <w:i/>
          <w:color w:val="215A99"/>
          <w:sz w:val="18"/>
          <w:szCs w:val="22"/>
          <w:lang w:val="en-GB"/>
        </w:rPr>
        <w:t>trucking – though the displacement potential may be greater in shipping.  A</w:t>
      </w:r>
      <w:r w:rsidRPr="009455CE">
        <w:rPr>
          <w:i/>
          <w:color w:val="215A99"/>
          <w:sz w:val="18"/>
          <w:szCs w:val="22"/>
          <w:lang w:val="en-GB"/>
        </w:rPr>
        <w:t xml:space="preserve"> key constraint on the large-scale build up of either LNG or </w:t>
      </w:r>
      <w:r w:rsidR="00B47491">
        <w:rPr>
          <w:i/>
          <w:color w:val="215A99"/>
          <w:sz w:val="18"/>
          <w:szCs w:val="22"/>
          <w:lang w:val="en-GB"/>
        </w:rPr>
        <w:t>compressed natural gas (</w:t>
      </w:r>
      <w:r w:rsidRPr="009455CE">
        <w:rPr>
          <w:i/>
          <w:color w:val="215A99"/>
          <w:sz w:val="18"/>
          <w:szCs w:val="22"/>
          <w:lang w:val="en-GB"/>
        </w:rPr>
        <w:t>CNG</w:t>
      </w:r>
      <w:r w:rsidR="00B47491">
        <w:rPr>
          <w:i/>
          <w:color w:val="215A99"/>
          <w:sz w:val="18"/>
          <w:szCs w:val="22"/>
          <w:lang w:val="en-GB"/>
        </w:rPr>
        <w:t>, another natural gas alternative)</w:t>
      </w:r>
      <w:r w:rsidRPr="009455CE">
        <w:rPr>
          <w:i/>
          <w:color w:val="215A99"/>
          <w:sz w:val="18"/>
          <w:szCs w:val="22"/>
          <w:lang w:val="en-GB"/>
        </w:rPr>
        <w:t xml:space="preserve"> in transportation will be the requisite re</w:t>
      </w:r>
      <w:r>
        <w:rPr>
          <w:i/>
          <w:color w:val="215A99"/>
          <w:sz w:val="18"/>
          <w:szCs w:val="22"/>
          <w:lang w:val="en-GB"/>
        </w:rPr>
        <w:t>-</w:t>
      </w:r>
      <w:r w:rsidRPr="009455CE">
        <w:rPr>
          <w:i/>
          <w:color w:val="215A99"/>
          <w:sz w:val="18"/>
          <w:szCs w:val="22"/>
          <w:lang w:val="en-GB"/>
        </w:rPr>
        <w:t>fue</w:t>
      </w:r>
      <w:r>
        <w:rPr>
          <w:i/>
          <w:color w:val="215A99"/>
          <w:sz w:val="18"/>
          <w:szCs w:val="22"/>
          <w:lang w:val="en-GB"/>
        </w:rPr>
        <w:t>l</w:t>
      </w:r>
      <w:r w:rsidRPr="009455CE">
        <w:rPr>
          <w:i/>
          <w:color w:val="215A99"/>
          <w:sz w:val="18"/>
          <w:szCs w:val="22"/>
          <w:lang w:val="en-GB"/>
        </w:rPr>
        <w:t>ling and distribution infrastructure needed to sustain a large industry</w:t>
      </w:r>
      <w:r>
        <w:rPr>
          <w:i/>
          <w:color w:val="215A99"/>
          <w:sz w:val="18"/>
          <w:szCs w:val="22"/>
          <w:lang w:val="en-GB"/>
        </w:rPr>
        <w:t>.</w:t>
      </w:r>
      <w:r w:rsidR="00B47491">
        <w:rPr>
          <w:i/>
          <w:color w:val="215A99"/>
          <w:sz w:val="18"/>
          <w:szCs w:val="22"/>
          <w:lang w:val="en-GB"/>
        </w:rPr>
        <w:t xml:space="preserve"> </w:t>
      </w:r>
    </w:p>
    <w:p w:rsidR="00B47491" w:rsidRPr="00564DBB" w:rsidRDefault="00B47491" w:rsidP="003F3C01">
      <w:pPr>
        <w:spacing w:after="120" w:line="252" w:lineRule="auto"/>
        <w:jc w:val="both"/>
        <w:rPr>
          <w:i/>
          <w:color w:val="215A99"/>
          <w:sz w:val="18"/>
          <w:szCs w:val="22"/>
          <w:lang w:val="en-GB"/>
        </w:rPr>
        <w:sectPr w:rsidR="00B47491" w:rsidRPr="00564DBB" w:rsidSect="007836D7">
          <w:type w:val="continuous"/>
          <w:pgSz w:w="12240" w:h="15840" w:code="1"/>
          <w:pgMar w:top="1728" w:right="1080" w:bottom="1080" w:left="1008" w:header="720" w:footer="504" w:gutter="0"/>
          <w:cols w:space="432"/>
          <w:titlePg/>
          <w:docGrid w:linePitch="272"/>
        </w:sectPr>
      </w:pPr>
    </w:p>
    <w:p w:rsidR="00B47491" w:rsidRDefault="00645870" w:rsidP="00645870">
      <w:pPr>
        <w:pStyle w:val="Titre2"/>
        <w:ind w:left="180"/>
        <w:rPr>
          <w:lang w:val="en-GB"/>
        </w:rPr>
      </w:pPr>
      <w:bookmarkStart w:id="45" w:name="_Toc360628266"/>
      <w:r>
        <w:rPr>
          <w:lang w:val="en-GB"/>
        </w:rPr>
        <w:lastRenderedPageBreak/>
        <w:t>8</w:t>
      </w:r>
      <w:r w:rsidR="00B47491">
        <w:rPr>
          <w:lang w:val="en-GB"/>
        </w:rPr>
        <w:t>.1</w:t>
      </w:r>
      <w:r w:rsidR="00B47491" w:rsidRPr="00564DBB">
        <w:rPr>
          <w:lang w:val="en-GB"/>
        </w:rPr>
        <w:t xml:space="preserve">. </w:t>
      </w:r>
      <w:r w:rsidR="00B47491">
        <w:rPr>
          <w:lang w:val="en-GB"/>
        </w:rPr>
        <w:t>DRIVERS FOR LNG AS TRANSPORT FUEL</w:t>
      </w:r>
      <w:bookmarkEnd w:id="45"/>
    </w:p>
    <w:p w:rsidR="00B47491" w:rsidRDefault="00B47491" w:rsidP="00B47491">
      <w:pPr>
        <w:spacing w:line="252" w:lineRule="auto"/>
        <w:ind w:left="180"/>
        <w:jc w:val="both"/>
        <w:rPr>
          <w:b/>
          <w:color w:val="215A99"/>
          <w:sz w:val="18"/>
          <w:lang w:val="en-GB"/>
        </w:rPr>
      </w:pPr>
    </w:p>
    <w:p w:rsidR="00181DF3" w:rsidRPr="00181DF3" w:rsidRDefault="00B47491" w:rsidP="00181DF3">
      <w:pPr>
        <w:spacing w:line="252" w:lineRule="auto"/>
        <w:ind w:left="180"/>
        <w:jc w:val="both"/>
        <w:rPr>
          <w:sz w:val="18"/>
          <w:lang w:val="en-GB"/>
        </w:rPr>
      </w:pPr>
      <w:r w:rsidRPr="005841CC">
        <w:rPr>
          <w:sz w:val="18"/>
          <w:lang w:val="en-GB"/>
        </w:rPr>
        <w:t>In recent years, LNG has begun to penetrate the fuels market for both marine (bunker) and road transportation.</w:t>
      </w:r>
      <w:r w:rsidR="00181DF3">
        <w:rPr>
          <w:sz w:val="18"/>
          <w:lang w:val="en-GB"/>
        </w:rPr>
        <w:t xml:space="preserve"> </w:t>
      </w:r>
      <w:r w:rsidR="00181DF3" w:rsidRPr="00181DF3">
        <w:rPr>
          <w:sz w:val="18"/>
          <w:lang w:val="en-GB"/>
        </w:rPr>
        <w:t xml:space="preserve">Compared to conventional fuels used in </w:t>
      </w:r>
      <w:r w:rsidR="00181DF3">
        <w:rPr>
          <w:sz w:val="18"/>
          <w:lang w:val="en-GB"/>
        </w:rPr>
        <w:t>the transport sector</w:t>
      </w:r>
      <w:r w:rsidR="00181DF3" w:rsidRPr="00181DF3">
        <w:rPr>
          <w:sz w:val="18"/>
          <w:lang w:val="en-GB"/>
        </w:rPr>
        <w:t>, LNG requires more volumetric space to generate the same energy</w:t>
      </w:r>
      <w:r w:rsidR="004A2A0E">
        <w:rPr>
          <w:sz w:val="18"/>
          <w:lang w:val="en-GB"/>
        </w:rPr>
        <w:t xml:space="preserve"> but</w:t>
      </w:r>
      <w:r w:rsidR="00181DF3">
        <w:rPr>
          <w:sz w:val="18"/>
          <w:lang w:val="en-GB"/>
        </w:rPr>
        <w:t xml:space="preserve"> it requires approximately 3 </w:t>
      </w:r>
      <w:r w:rsidR="00181DF3" w:rsidRPr="00181DF3">
        <w:rPr>
          <w:sz w:val="18"/>
          <w:lang w:val="en-GB"/>
        </w:rPr>
        <w:t>times less volume than compressed natural gas (</w:t>
      </w:r>
      <w:r w:rsidR="00181DF3">
        <w:rPr>
          <w:sz w:val="18"/>
          <w:lang w:val="en-GB"/>
        </w:rPr>
        <w:t>at 200 bar</w:t>
      </w:r>
      <w:r w:rsidR="00181DF3" w:rsidRPr="00181DF3">
        <w:rPr>
          <w:sz w:val="18"/>
          <w:lang w:val="en-GB"/>
        </w:rPr>
        <w:t xml:space="preserve">). As a consequence LNG and CNG have different development opportunities. </w:t>
      </w:r>
      <w:r w:rsidR="00A12402">
        <w:rPr>
          <w:sz w:val="18"/>
          <w:lang w:val="en-GB"/>
        </w:rPr>
        <w:t xml:space="preserve"> Despite the </w:t>
      </w:r>
      <w:r w:rsidR="00F37AF3">
        <w:rPr>
          <w:sz w:val="18"/>
          <w:lang w:val="en-GB"/>
        </w:rPr>
        <w:t xml:space="preserve">need for more tank space than other </w:t>
      </w:r>
      <w:r w:rsidR="00A12402">
        <w:rPr>
          <w:sz w:val="18"/>
          <w:lang w:val="en-GB"/>
        </w:rPr>
        <w:t>transportation fuels, gas alternatives provide a cheaper and more environmentally-friendly option.</w:t>
      </w:r>
    </w:p>
    <w:tbl>
      <w:tblPr>
        <w:tblpPr w:leftFromText="180" w:rightFromText="180" w:vertAnchor="text" w:horzAnchor="margin" w:tblpY="112"/>
        <w:tblW w:w="4975" w:type="dxa"/>
        <w:tblLayout w:type="fixed"/>
        <w:tblLook w:val="01E0"/>
      </w:tblPr>
      <w:tblGrid>
        <w:gridCol w:w="4975"/>
      </w:tblGrid>
      <w:tr w:rsidR="00181DF3" w:rsidRPr="00A918C1" w:rsidTr="00181DF3">
        <w:trPr>
          <w:trHeight w:val="2938"/>
        </w:trPr>
        <w:tc>
          <w:tcPr>
            <w:tcW w:w="4975" w:type="dxa"/>
          </w:tcPr>
          <w:p w:rsidR="00181DF3" w:rsidRDefault="007B2FA5" w:rsidP="00181DF3">
            <w:pPr>
              <w:pStyle w:val="PFCBulletedText2"/>
              <w:spacing w:before="120" w:after="0"/>
              <w:ind w:left="0" w:firstLine="0"/>
              <w:jc w:val="left"/>
              <w:rPr>
                <w:noProof/>
                <w:lang w:eastAsia="en-US"/>
              </w:rPr>
            </w:pPr>
            <w:r>
              <w:rPr>
                <w:noProof/>
                <w:lang w:val="fr-FR" w:eastAsia="zh-CN"/>
              </w:rPr>
              <w:drawing>
                <wp:inline distT="0" distB="0" distL="0" distR="0">
                  <wp:extent cx="3019425" cy="2073275"/>
                  <wp:effectExtent l="19050" t="0" r="9525"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3019425" cy="2073275"/>
                          </a:xfrm>
                          <a:prstGeom prst="rect">
                            <a:avLst/>
                          </a:prstGeom>
                          <a:noFill/>
                          <a:ln w="9525">
                            <a:noFill/>
                            <a:miter lim="800000"/>
                            <a:headEnd/>
                            <a:tailEnd/>
                          </a:ln>
                        </pic:spPr>
                      </pic:pic>
                    </a:graphicData>
                  </a:graphic>
                </wp:inline>
              </w:drawing>
            </w:r>
          </w:p>
          <w:p w:rsidR="00181DF3" w:rsidRDefault="004C2905" w:rsidP="00181DF3">
            <w:pPr>
              <w:pStyle w:val="PFCBulletedText2"/>
              <w:ind w:left="0" w:firstLine="0"/>
              <w:jc w:val="left"/>
              <w:rPr>
                <w:rFonts w:eastAsia="SimSun"/>
                <w:b/>
                <w:smallCaps/>
                <w:lang w:val="en-GB"/>
              </w:rPr>
            </w:pPr>
            <w:r>
              <w:rPr>
                <w:b/>
                <w:sz w:val="18"/>
                <w:szCs w:val="18"/>
              </w:rPr>
              <w:t xml:space="preserve">Figure </w:t>
            </w:r>
            <w:r w:rsidR="00E35536">
              <w:rPr>
                <w:b/>
                <w:sz w:val="18"/>
                <w:szCs w:val="18"/>
              </w:rPr>
              <w:t>8</w:t>
            </w:r>
            <w:r w:rsidR="00181DF3">
              <w:rPr>
                <w:b/>
                <w:sz w:val="18"/>
                <w:szCs w:val="18"/>
              </w:rPr>
              <w:t>.1</w:t>
            </w:r>
            <w:r w:rsidR="00181DF3" w:rsidRPr="005733C3">
              <w:rPr>
                <w:b/>
                <w:sz w:val="18"/>
                <w:szCs w:val="18"/>
              </w:rPr>
              <w:t>:</w:t>
            </w:r>
            <w:r w:rsidR="00181DF3">
              <w:rPr>
                <w:b/>
                <w:sz w:val="18"/>
                <w:szCs w:val="18"/>
              </w:rPr>
              <w:t xml:space="preserve"> Energy Content of Various Transportation Fuels</w:t>
            </w:r>
          </w:p>
          <w:p w:rsidR="00181DF3" w:rsidRPr="002055A2" w:rsidRDefault="00181DF3" w:rsidP="00181DF3">
            <w:pPr>
              <w:pStyle w:val="PFCBulletedText2"/>
              <w:ind w:left="0" w:firstLine="0"/>
              <w:jc w:val="left"/>
              <w:rPr>
                <w:b/>
                <w:sz w:val="18"/>
                <w:szCs w:val="18"/>
              </w:rPr>
            </w:pPr>
            <w:r>
              <w:rPr>
                <w:i/>
                <w:sz w:val="16"/>
                <w:szCs w:val="16"/>
              </w:rPr>
              <w:t>S</w:t>
            </w:r>
            <w:r w:rsidRPr="005733C3">
              <w:rPr>
                <w:i/>
                <w:sz w:val="16"/>
                <w:szCs w:val="16"/>
              </w:rPr>
              <w:t xml:space="preserve">ources: </w:t>
            </w:r>
            <w:r>
              <w:rPr>
                <w:i/>
                <w:sz w:val="16"/>
                <w:szCs w:val="16"/>
              </w:rPr>
              <w:t>Transportation Energy Data Book: Edition 31, Oak Ridge National Laboratory, US Department of Energy</w:t>
            </w:r>
          </w:p>
        </w:tc>
      </w:tr>
    </w:tbl>
    <w:p w:rsidR="004A2A0E" w:rsidRDefault="004A2A0E" w:rsidP="00B47491">
      <w:pPr>
        <w:spacing w:line="252" w:lineRule="auto"/>
        <w:ind w:left="180"/>
        <w:jc w:val="both"/>
        <w:rPr>
          <w:sz w:val="18"/>
          <w:lang w:val="en-GB"/>
        </w:rPr>
      </w:pPr>
    </w:p>
    <w:p w:rsidR="00B47491" w:rsidRPr="005841CC" w:rsidRDefault="00B47491" w:rsidP="00B47491">
      <w:pPr>
        <w:spacing w:line="252" w:lineRule="auto"/>
        <w:ind w:left="180"/>
        <w:jc w:val="both"/>
        <w:rPr>
          <w:sz w:val="18"/>
          <w:lang w:val="en-GB"/>
        </w:rPr>
      </w:pPr>
      <w:r w:rsidRPr="005841CC">
        <w:rPr>
          <w:sz w:val="18"/>
          <w:lang w:val="en-GB"/>
        </w:rPr>
        <w:t xml:space="preserve">While there are arguments for </w:t>
      </w:r>
      <w:r w:rsidR="00181DF3">
        <w:rPr>
          <w:sz w:val="18"/>
          <w:lang w:val="en-GB"/>
        </w:rPr>
        <w:t xml:space="preserve">the </w:t>
      </w:r>
      <w:r w:rsidRPr="005841CC">
        <w:rPr>
          <w:sz w:val="18"/>
          <w:lang w:val="en-GB"/>
        </w:rPr>
        <w:t xml:space="preserve">growth </w:t>
      </w:r>
      <w:r w:rsidR="00181DF3">
        <w:rPr>
          <w:sz w:val="18"/>
          <w:lang w:val="en-GB"/>
        </w:rPr>
        <w:t xml:space="preserve">of LNG in both marine and </w:t>
      </w:r>
      <w:r w:rsidR="00F37AF3">
        <w:rPr>
          <w:sz w:val="18"/>
          <w:lang w:val="en-GB"/>
        </w:rPr>
        <w:t>land based</w:t>
      </w:r>
      <w:r w:rsidR="00181DF3">
        <w:rPr>
          <w:sz w:val="18"/>
          <w:lang w:val="en-GB"/>
        </w:rPr>
        <w:t xml:space="preserve"> transport</w:t>
      </w:r>
      <w:r w:rsidRPr="005841CC">
        <w:rPr>
          <w:sz w:val="18"/>
          <w:lang w:val="en-GB"/>
        </w:rPr>
        <w:t xml:space="preserve">, the bunker fuel market is likely to offer more displacement potential </w:t>
      </w:r>
      <w:r>
        <w:rPr>
          <w:sz w:val="18"/>
          <w:lang w:val="en-GB"/>
        </w:rPr>
        <w:t xml:space="preserve">in short and medium-term </w:t>
      </w:r>
      <w:r w:rsidRPr="005841CC">
        <w:rPr>
          <w:sz w:val="18"/>
          <w:lang w:val="en-GB"/>
        </w:rPr>
        <w:t xml:space="preserve">given the stringent environmental regulations that the industry is now facing and due to its importance in global trade. </w:t>
      </w:r>
    </w:p>
    <w:p w:rsidR="00B47491" w:rsidRDefault="00B47491" w:rsidP="00B47491">
      <w:pPr>
        <w:spacing w:line="252" w:lineRule="auto"/>
        <w:ind w:left="180"/>
        <w:jc w:val="both"/>
        <w:rPr>
          <w:b/>
          <w:color w:val="215A99"/>
          <w:sz w:val="18"/>
          <w:lang w:val="en-GB"/>
        </w:rPr>
      </w:pPr>
    </w:p>
    <w:p w:rsidR="00B47491" w:rsidRPr="005841CC" w:rsidRDefault="00073EEA" w:rsidP="00B47491">
      <w:pPr>
        <w:spacing w:line="252" w:lineRule="auto"/>
        <w:ind w:left="180"/>
        <w:jc w:val="both"/>
        <w:rPr>
          <w:sz w:val="18"/>
          <w:lang w:val="en-GB"/>
        </w:rPr>
      </w:pPr>
      <w:r w:rsidRPr="00073EEA">
        <w:rPr>
          <w:noProof/>
          <w:sz w:val="18"/>
          <w:lang w:eastAsia="en-US"/>
        </w:rPr>
        <w:pict>
          <v:shape id="_x0000_s1108" type="#_x0000_t202" style="position:absolute;left:0;text-align:left;margin-left:-15.8pt;margin-top:37.2pt;width:116.6pt;height:32.25pt;z-index:251692032;mso-wrap-edited:f;mso-wrap-distance-left:14.4pt;mso-wrap-distance-right:14.4pt;mso-width-relative:margin;mso-height-relative:margin" wrapcoords="0 0 21600 0 21600 21600 0 21600 0 0" filled="f" stroked="f" strokecolor="silver">
            <v:fill o:detectmouseclick="t"/>
            <v:textbox style="mso-next-textbox:#_x0000_s1108" inset=".72pt,0,.72pt,0">
              <w:txbxContent>
                <w:p w:rsidR="00856114" w:rsidRPr="00407BDF" w:rsidRDefault="00856114" w:rsidP="0097746A">
                  <w:pPr>
                    <w:jc w:val="both"/>
                    <w:rPr>
                      <w:i/>
                      <w:color w:val="1B82CE" w:themeColor="accent3"/>
                      <w:sz w:val="18"/>
                    </w:rPr>
                  </w:pPr>
                  <w:r w:rsidRPr="00407BDF">
                    <w:rPr>
                      <w:b/>
                      <w:color w:val="1B82CE" w:themeColor="accent3"/>
                      <w:sz w:val="24"/>
                    </w:rPr>
                    <w:t xml:space="preserve">90% </w:t>
                  </w:r>
                  <w:r w:rsidRPr="00407BDF">
                    <w:rPr>
                      <w:color w:val="1B82CE" w:themeColor="accent3"/>
                      <w:sz w:val="24"/>
                    </w:rPr>
                    <w:t>of Global Trade Delivered by Ship</w:t>
                  </w:r>
                </w:p>
              </w:txbxContent>
            </v:textbox>
            <w10:wrap type="tight"/>
          </v:shape>
        </w:pict>
      </w:r>
      <w:proofErr w:type="gramStart"/>
      <w:r w:rsidR="00B47491" w:rsidRPr="0002465F">
        <w:rPr>
          <w:b/>
          <w:color w:val="215A99"/>
          <w:sz w:val="18"/>
          <w:lang w:val="en-GB"/>
        </w:rPr>
        <w:t>Macroeconomics and Trade.</w:t>
      </w:r>
      <w:proofErr w:type="gramEnd"/>
      <w:r w:rsidR="00B47491">
        <w:rPr>
          <w:color w:val="141313" w:themeColor="text1"/>
          <w:sz w:val="18"/>
          <w:lang w:val="en-GB"/>
        </w:rPr>
        <w:t xml:space="preserve"> </w:t>
      </w:r>
      <w:r w:rsidR="00B47491" w:rsidRPr="008F0F42">
        <w:rPr>
          <w:color w:val="141313" w:themeColor="text1"/>
          <w:sz w:val="18"/>
          <w:lang w:val="en-GB"/>
        </w:rPr>
        <w:t xml:space="preserve">The marine fuel market is largely driven by macro factors.   As global GDP grows, the demand for global trade expands and self-reinforcing dynamic further stimulates GDP.   When trade grows, so does the need for transport.  </w:t>
      </w:r>
      <w:r w:rsidR="00B47491" w:rsidRPr="008F0F42">
        <w:rPr>
          <w:color w:val="141313" w:themeColor="text1"/>
          <w:sz w:val="18"/>
          <w:lang w:val="en-GB"/>
        </w:rPr>
        <w:lastRenderedPageBreak/>
        <w:t xml:space="preserve">Approximately, 90% of global trade is </w:t>
      </w:r>
      <w:r w:rsidR="00B47491" w:rsidRPr="005841CC">
        <w:rPr>
          <w:sz w:val="18"/>
          <w:lang w:val="en-GB"/>
        </w:rPr>
        <w:t xml:space="preserve">delivered via shipping.  And to fuel the global shipping fleet, marine diesel and fuel oil are heavily used.  </w:t>
      </w:r>
    </w:p>
    <w:p w:rsidR="00B47491" w:rsidRPr="005841CC" w:rsidRDefault="00B47491" w:rsidP="00B47491">
      <w:pPr>
        <w:spacing w:line="252" w:lineRule="auto"/>
        <w:ind w:left="180"/>
        <w:jc w:val="both"/>
        <w:rPr>
          <w:sz w:val="18"/>
          <w:lang w:val="en-GB"/>
        </w:rPr>
      </w:pPr>
    </w:p>
    <w:p w:rsidR="00B47491" w:rsidRDefault="00B47491" w:rsidP="00B47491">
      <w:pPr>
        <w:spacing w:line="252" w:lineRule="auto"/>
        <w:ind w:left="180"/>
        <w:jc w:val="both"/>
        <w:rPr>
          <w:color w:val="141313" w:themeColor="text1"/>
          <w:sz w:val="18"/>
          <w:lang w:val="en-GB"/>
        </w:rPr>
      </w:pPr>
      <w:r w:rsidRPr="005841CC">
        <w:rPr>
          <w:sz w:val="18"/>
          <w:lang w:val="en-GB"/>
        </w:rPr>
        <w:t xml:space="preserve">Global merchandise exports have nearly tripled in value between 2001 and 2011. This is mainly a result in volumetric increases in trade.  However, the various routes and distances between suppliers and consumers have grown as well.  Based on data from the United Nations Conference on Trade and Development (UNCTAD), seaborne trade has increased from ~29 </w:t>
      </w:r>
      <w:r w:rsidR="00F37AF3">
        <w:rPr>
          <w:sz w:val="18"/>
          <w:lang w:val="en-GB"/>
        </w:rPr>
        <w:t>billion</w:t>
      </w:r>
      <w:r w:rsidRPr="005841CC">
        <w:rPr>
          <w:sz w:val="18"/>
          <w:lang w:val="en-GB"/>
        </w:rPr>
        <w:t xml:space="preserve"> ton-miles (a unit representing both volume and distance</w:t>
      </w:r>
      <w:r w:rsidRPr="008F0F42">
        <w:rPr>
          <w:color w:val="141313" w:themeColor="text1"/>
          <w:sz w:val="18"/>
          <w:lang w:val="en-GB"/>
        </w:rPr>
        <w:t>) in 2001 to</w:t>
      </w:r>
      <w:r>
        <w:rPr>
          <w:color w:val="141313" w:themeColor="text1"/>
          <w:sz w:val="18"/>
          <w:lang w:val="en-GB"/>
        </w:rPr>
        <w:t xml:space="preserve"> </w:t>
      </w:r>
      <w:r w:rsidRPr="008F0F42">
        <w:rPr>
          <w:color w:val="141313" w:themeColor="text1"/>
          <w:sz w:val="18"/>
          <w:lang w:val="en-GB"/>
        </w:rPr>
        <w:t xml:space="preserve">~43 </w:t>
      </w:r>
      <w:r w:rsidR="00F37AF3">
        <w:rPr>
          <w:color w:val="141313" w:themeColor="text1"/>
          <w:sz w:val="18"/>
          <w:lang w:val="en-GB"/>
        </w:rPr>
        <w:t>billion</w:t>
      </w:r>
      <w:r w:rsidRPr="008F0F42">
        <w:rPr>
          <w:color w:val="141313" w:themeColor="text1"/>
          <w:sz w:val="18"/>
          <w:lang w:val="en-GB"/>
        </w:rPr>
        <w:t xml:space="preserve"> ton-miles in 2011, or a 47% rise.  And as a result, there has been a commensurate rise in marine fuel consumption (33% between 2000 and 2010, according to the IEA).</w:t>
      </w:r>
    </w:p>
    <w:p w:rsidR="00B47491" w:rsidRDefault="00B47491" w:rsidP="00B47491">
      <w:pPr>
        <w:spacing w:line="252" w:lineRule="auto"/>
        <w:ind w:left="180"/>
        <w:jc w:val="both"/>
        <w:rPr>
          <w:color w:val="141313" w:themeColor="text1"/>
          <w:sz w:val="18"/>
          <w:lang w:val="en-GB"/>
        </w:rPr>
      </w:pPr>
    </w:p>
    <w:p w:rsidR="00B47491" w:rsidRDefault="00B47491" w:rsidP="00B47491">
      <w:pPr>
        <w:spacing w:line="252" w:lineRule="auto"/>
        <w:ind w:left="180"/>
        <w:jc w:val="both"/>
        <w:rPr>
          <w:color w:val="141313" w:themeColor="text1"/>
          <w:sz w:val="18"/>
          <w:lang w:val="en-GB"/>
        </w:rPr>
      </w:pPr>
      <w:r w:rsidRPr="00B30F9C">
        <w:rPr>
          <w:color w:val="141313" w:themeColor="text1"/>
          <w:sz w:val="18"/>
          <w:lang w:val="en-GB"/>
        </w:rPr>
        <w:t>If trade continues to grow on trend (in step with GDP growth) and the structural relationships between the global trade, demand for transport, and fuel used in transport persist, the marine fuel market will need to expand significantly.</w:t>
      </w:r>
      <w:r w:rsidRPr="00D168AD">
        <w:rPr>
          <w:color w:val="141313" w:themeColor="text1"/>
          <w:sz w:val="18"/>
          <w:lang w:val="en-GB"/>
        </w:rPr>
        <w:t xml:space="preserve"> </w:t>
      </w:r>
    </w:p>
    <w:tbl>
      <w:tblPr>
        <w:tblpPr w:leftFromText="180" w:rightFromText="180" w:vertAnchor="text" w:horzAnchor="margin" w:tblpXSpec="right" w:tblpY="94"/>
        <w:tblW w:w="4975" w:type="dxa"/>
        <w:tblLayout w:type="fixed"/>
        <w:tblLook w:val="01E0"/>
      </w:tblPr>
      <w:tblGrid>
        <w:gridCol w:w="4975"/>
      </w:tblGrid>
      <w:tr w:rsidR="00A12402" w:rsidRPr="00A918C1" w:rsidTr="00A12402">
        <w:trPr>
          <w:trHeight w:val="2938"/>
        </w:trPr>
        <w:tc>
          <w:tcPr>
            <w:tcW w:w="4975" w:type="dxa"/>
          </w:tcPr>
          <w:p w:rsidR="00A12402" w:rsidRDefault="00D46271" w:rsidP="00A12402">
            <w:pPr>
              <w:pStyle w:val="PFCBulletedText2"/>
              <w:spacing w:before="120" w:after="0"/>
              <w:ind w:left="0" w:firstLine="0"/>
              <w:jc w:val="left"/>
              <w:rPr>
                <w:noProof/>
                <w:lang w:eastAsia="en-US"/>
              </w:rPr>
            </w:pPr>
            <w:r>
              <w:rPr>
                <w:noProof/>
                <w:lang w:val="fr-FR" w:eastAsia="zh-CN"/>
              </w:rPr>
              <w:drawing>
                <wp:anchor distT="0" distB="0" distL="114300" distR="114300" simplePos="0" relativeHeight="251707392" behindDoc="0" locked="0" layoutInCell="1" allowOverlap="1">
                  <wp:simplePos x="0" y="0"/>
                  <wp:positionH relativeFrom="column">
                    <wp:posOffset>1259840</wp:posOffset>
                  </wp:positionH>
                  <wp:positionV relativeFrom="paragraph">
                    <wp:posOffset>1187133</wp:posOffset>
                  </wp:positionV>
                  <wp:extent cx="1033463" cy="185737"/>
                  <wp:effectExtent l="19050" t="0" r="0" b="0"/>
                  <wp:wrapNone/>
                  <wp:docPr id="21" name="Picture 1"/>
                  <wp:cNvGraphicFramePr/>
                  <a:graphic xmlns:a="http://schemas.openxmlformats.org/drawingml/2006/main">
                    <a:graphicData uri="http://schemas.openxmlformats.org/drawingml/2006/picture">
                      <pic:pic xmlns:pic="http://schemas.openxmlformats.org/drawingml/2006/picture">
                        <pic:nvPicPr>
                          <pic:cNvPr id="31079425" name="Picture 1"/>
                          <pic:cNvPicPr>
                            <a:picLocks noChangeAspect="1" noChangeArrowheads="1"/>
                          </pic:cNvPicPr>
                        </pic:nvPicPr>
                        <pic:blipFill>
                          <a:blip r:embed="rId79" cstate="print"/>
                          <a:srcRect l="3632" t="77022" r="5973" b="5006"/>
                          <a:stretch>
                            <a:fillRect/>
                          </a:stretch>
                        </pic:blipFill>
                        <pic:spPr bwMode="auto">
                          <a:xfrm>
                            <a:off x="0" y="0"/>
                            <a:ext cx="1040088" cy="186928"/>
                          </a:xfrm>
                          <a:prstGeom prst="rect">
                            <a:avLst/>
                          </a:prstGeom>
                          <a:noFill/>
                        </pic:spPr>
                      </pic:pic>
                    </a:graphicData>
                  </a:graphic>
                </wp:anchor>
              </w:drawing>
            </w:r>
            <w:r>
              <w:rPr>
                <w:noProof/>
                <w:lang w:val="fr-FR" w:eastAsia="zh-CN"/>
              </w:rPr>
              <w:drawing>
                <wp:inline distT="0" distB="0" distL="0" distR="0">
                  <wp:extent cx="3021330" cy="1353185"/>
                  <wp:effectExtent l="19050" t="0" r="762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srcRect/>
                          <a:stretch>
                            <a:fillRect/>
                          </a:stretch>
                        </pic:blipFill>
                        <pic:spPr bwMode="auto">
                          <a:xfrm>
                            <a:off x="0" y="0"/>
                            <a:ext cx="3021330" cy="1353185"/>
                          </a:xfrm>
                          <a:prstGeom prst="rect">
                            <a:avLst/>
                          </a:prstGeom>
                          <a:noFill/>
                          <a:ln w="9525">
                            <a:noFill/>
                            <a:miter lim="800000"/>
                            <a:headEnd/>
                            <a:tailEnd/>
                          </a:ln>
                        </pic:spPr>
                      </pic:pic>
                    </a:graphicData>
                  </a:graphic>
                </wp:inline>
              </w:drawing>
            </w:r>
          </w:p>
          <w:p w:rsidR="00A12402" w:rsidRDefault="00A12402" w:rsidP="00A12402">
            <w:pPr>
              <w:pStyle w:val="PFCBulletedText2"/>
              <w:ind w:left="0" w:firstLine="0"/>
              <w:jc w:val="left"/>
              <w:rPr>
                <w:rFonts w:eastAsia="SimSun"/>
                <w:b/>
                <w:smallCaps/>
                <w:lang w:val="en-GB"/>
              </w:rPr>
            </w:pPr>
            <w:r>
              <w:rPr>
                <w:b/>
                <w:sz w:val="18"/>
                <w:szCs w:val="18"/>
              </w:rPr>
              <w:t xml:space="preserve">Figure </w:t>
            </w:r>
            <w:r w:rsidR="00E35536">
              <w:rPr>
                <w:b/>
                <w:sz w:val="18"/>
                <w:szCs w:val="18"/>
              </w:rPr>
              <w:t>8</w:t>
            </w:r>
            <w:r>
              <w:rPr>
                <w:b/>
                <w:sz w:val="18"/>
                <w:szCs w:val="18"/>
              </w:rPr>
              <w:t>.</w:t>
            </w:r>
            <w:r w:rsidR="00375B70">
              <w:rPr>
                <w:b/>
                <w:sz w:val="18"/>
                <w:szCs w:val="18"/>
              </w:rPr>
              <w:t>2</w:t>
            </w:r>
            <w:r w:rsidRPr="005733C3">
              <w:rPr>
                <w:b/>
                <w:sz w:val="18"/>
                <w:szCs w:val="18"/>
              </w:rPr>
              <w:t>:</w:t>
            </w:r>
            <w:r>
              <w:rPr>
                <w:b/>
                <w:sz w:val="18"/>
                <w:szCs w:val="18"/>
              </w:rPr>
              <w:t xml:space="preserve"> </w:t>
            </w:r>
            <w:r w:rsidR="00375B70">
              <w:rPr>
                <w:b/>
                <w:sz w:val="18"/>
                <w:szCs w:val="18"/>
              </w:rPr>
              <w:t>Trade Fundamentals</w:t>
            </w:r>
          </w:p>
          <w:p w:rsidR="00A12402" w:rsidRPr="002055A2" w:rsidRDefault="00A12402" w:rsidP="00A12402">
            <w:pPr>
              <w:pStyle w:val="PFCBulletedText2"/>
              <w:ind w:left="0" w:firstLine="0"/>
              <w:jc w:val="left"/>
              <w:rPr>
                <w:b/>
                <w:sz w:val="18"/>
                <w:szCs w:val="18"/>
              </w:rPr>
            </w:pPr>
            <w:r>
              <w:rPr>
                <w:i/>
                <w:sz w:val="16"/>
                <w:szCs w:val="16"/>
              </w:rPr>
              <w:t>S</w:t>
            </w:r>
            <w:r w:rsidRPr="005733C3">
              <w:rPr>
                <w:i/>
                <w:sz w:val="16"/>
                <w:szCs w:val="16"/>
              </w:rPr>
              <w:t xml:space="preserve">ources: </w:t>
            </w:r>
            <w:r w:rsidR="00375B70" w:rsidRPr="004E60C3">
              <w:rPr>
                <w:i/>
                <w:sz w:val="16"/>
                <w:szCs w:val="16"/>
              </w:rPr>
              <w:t xml:space="preserve"> PFC Energy Global LNG Service, UNCTAD, IEA</w:t>
            </w:r>
          </w:p>
        </w:tc>
      </w:tr>
    </w:tbl>
    <w:p w:rsidR="004A2A0E" w:rsidRDefault="004A2A0E" w:rsidP="00375B70">
      <w:pPr>
        <w:spacing w:line="252" w:lineRule="auto"/>
        <w:ind w:left="180"/>
        <w:jc w:val="both"/>
        <w:rPr>
          <w:b/>
          <w:color w:val="215A99"/>
          <w:sz w:val="18"/>
          <w:lang w:val="en-GB"/>
        </w:rPr>
      </w:pPr>
    </w:p>
    <w:p w:rsidR="00375B70" w:rsidRDefault="00375B70" w:rsidP="00375B70">
      <w:pPr>
        <w:spacing w:line="252" w:lineRule="auto"/>
        <w:ind w:left="180"/>
        <w:jc w:val="both"/>
        <w:rPr>
          <w:color w:val="141313" w:themeColor="text1"/>
          <w:sz w:val="18"/>
          <w:lang w:val="en-GB"/>
        </w:rPr>
      </w:pPr>
      <w:r>
        <w:rPr>
          <w:b/>
          <w:color w:val="215A99"/>
          <w:sz w:val="18"/>
          <w:lang w:val="en-GB"/>
        </w:rPr>
        <w:t>Sulphur Emission Regulations</w:t>
      </w:r>
      <w:r w:rsidRPr="007A79DB">
        <w:rPr>
          <w:b/>
          <w:color w:val="215A99"/>
          <w:sz w:val="18"/>
          <w:lang w:val="en-GB"/>
        </w:rPr>
        <w:t>.</w:t>
      </w:r>
      <w:r>
        <w:rPr>
          <w:color w:val="141313" w:themeColor="text1"/>
          <w:sz w:val="18"/>
          <w:lang w:val="en-GB"/>
        </w:rPr>
        <w:t xml:space="preserve">  In 2015, seaborne traffic in North America, the US Caribbean, and European waters – namely the Baltic Sea, North Sea, and English Channel – will be mandated to reduce fuel sulphur content from 1.0% to 0.1%.  This regulation for these Special Emission Control Areas (SECAs) has been established by Annex VI of the I</w:t>
      </w:r>
      <w:r w:rsidRPr="00C11E8F">
        <w:rPr>
          <w:color w:val="141313" w:themeColor="text1"/>
          <w:sz w:val="18"/>
          <w:lang w:val="en-GB"/>
        </w:rPr>
        <w:t xml:space="preserve">nternational Convention for the Prevention of Pollution From Ships, 1973 as modified by </w:t>
      </w:r>
      <w:r>
        <w:rPr>
          <w:color w:val="141313" w:themeColor="text1"/>
          <w:sz w:val="18"/>
          <w:lang w:val="en-GB"/>
        </w:rPr>
        <w:t>t</w:t>
      </w:r>
      <w:r w:rsidRPr="00C11E8F">
        <w:rPr>
          <w:color w:val="141313" w:themeColor="text1"/>
          <w:sz w:val="18"/>
          <w:lang w:val="en-GB"/>
        </w:rPr>
        <w:t>he Protocol of 1978</w:t>
      </w:r>
      <w:r>
        <w:rPr>
          <w:color w:val="141313" w:themeColor="text1"/>
          <w:sz w:val="18"/>
          <w:lang w:val="en-GB"/>
        </w:rPr>
        <w:t xml:space="preserve"> (MARPOL 73/78).</w:t>
      </w:r>
      <w:r w:rsidR="00D46271" w:rsidRPr="00D46271">
        <w:rPr>
          <w:noProof/>
          <w:lang w:eastAsia="en-US"/>
        </w:rPr>
        <w:t xml:space="preserve"> </w:t>
      </w:r>
    </w:p>
    <w:p w:rsidR="00375B70" w:rsidRDefault="00375B70" w:rsidP="00375B70">
      <w:pPr>
        <w:spacing w:line="252" w:lineRule="auto"/>
        <w:ind w:left="180"/>
        <w:jc w:val="both"/>
        <w:rPr>
          <w:color w:val="141313" w:themeColor="text1"/>
          <w:sz w:val="18"/>
          <w:lang w:val="en-GB"/>
        </w:rPr>
      </w:pPr>
    </w:p>
    <w:p w:rsidR="00375B70" w:rsidRDefault="00375B70" w:rsidP="00375B70">
      <w:pPr>
        <w:spacing w:line="252" w:lineRule="auto"/>
        <w:ind w:left="180"/>
        <w:jc w:val="both"/>
        <w:rPr>
          <w:color w:val="141313" w:themeColor="text1"/>
          <w:sz w:val="18"/>
          <w:lang w:val="en-GB"/>
        </w:rPr>
      </w:pPr>
      <w:r>
        <w:rPr>
          <w:color w:val="141313" w:themeColor="text1"/>
          <w:sz w:val="18"/>
          <w:lang w:val="en-GB"/>
        </w:rPr>
        <w:t xml:space="preserve">For signatories of Annex VI that are located outside of the </w:t>
      </w:r>
      <w:r>
        <w:rPr>
          <w:color w:val="141313" w:themeColor="text1"/>
          <w:sz w:val="18"/>
          <w:lang w:val="en-GB"/>
        </w:rPr>
        <w:lastRenderedPageBreak/>
        <w:t xml:space="preserve">SECAs, the mandated sulphur content limit will be reduced from the current level of 3.5% to 0.5%.  If by 2018 an International Maritime Organization commission finds that there is not enough fuel available with the mandated sulphur level, the reduction to 0.5% may be extended to 2025.  </w:t>
      </w:r>
    </w:p>
    <w:p w:rsidR="00375B70" w:rsidRDefault="00375B70" w:rsidP="00375B70">
      <w:pPr>
        <w:spacing w:line="252" w:lineRule="auto"/>
        <w:ind w:left="180"/>
        <w:jc w:val="both"/>
        <w:rPr>
          <w:color w:val="141313" w:themeColor="text1"/>
          <w:sz w:val="18"/>
          <w:lang w:val="en-GB"/>
        </w:rPr>
      </w:pPr>
    </w:p>
    <w:p w:rsidR="00CB1301" w:rsidRPr="00747B92" w:rsidRDefault="00375B70" w:rsidP="00CB1301">
      <w:pPr>
        <w:spacing w:line="252" w:lineRule="auto"/>
        <w:ind w:left="180"/>
        <w:jc w:val="both"/>
        <w:rPr>
          <w:color w:val="FF0000"/>
          <w:sz w:val="18"/>
          <w:lang w:val="en-GB"/>
        </w:rPr>
      </w:pPr>
      <w:proofErr w:type="gramStart"/>
      <w:r w:rsidRPr="007A79DB">
        <w:rPr>
          <w:b/>
          <w:color w:val="215A99"/>
          <w:sz w:val="18"/>
          <w:lang w:val="en-GB"/>
        </w:rPr>
        <w:t>Fuel Price Competitiveness</w:t>
      </w:r>
      <w:r w:rsidRPr="007A79DB">
        <w:rPr>
          <w:color w:val="215A99"/>
          <w:sz w:val="18"/>
          <w:lang w:val="en-GB"/>
        </w:rPr>
        <w:t>.</w:t>
      </w:r>
      <w:proofErr w:type="gramEnd"/>
      <w:r>
        <w:rPr>
          <w:color w:val="141313" w:themeColor="text1"/>
          <w:sz w:val="18"/>
          <w:lang w:val="en-GB"/>
        </w:rPr>
        <w:t xml:space="preserve">  Another argument for using LNG as fuel in transportation </w:t>
      </w:r>
      <w:r w:rsidR="00A5139E">
        <w:rPr>
          <w:color w:val="141313" w:themeColor="text1"/>
          <w:sz w:val="18"/>
          <w:lang w:val="en-GB"/>
        </w:rPr>
        <w:t>is</w:t>
      </w:r>
      <w:r>
        <w:rPr>
          <w:color w:val="141313" w:themeColor="text1"/>
          <w:sz w:val="18"/>
          <w:lang w:val="en-GB"/>
        </w:rPr>
        <w:t xml:space="preserve"> the disparity between oil and gas prices and the expectation that oil prices may continue</w:t>
      </w:r>
      <w:r w:rsidR="00F37AF3">
        <w:rPr>
          <w:color w:val="141313" w:themeColor="text1"/>
          <w:sz w:val="18"/>
          <w:lang w:val="en-GB"/>
        </w:rPr>
        <w:t xml:space="preserve"> to rise exacerbating the gap. The</w:t>
      </w:r>
      <w:r>
        <w:rPr>
          <w:color w:val="141313" w:themeColor="text1"/>
          <w:sz w:val="18"/>
          <w:lang w:val="en-GB"/>
        </w:rPr>
        <w:t xml:space="preserve"> reality is that the spread between</w:t>
      </w:r>
      <w:r w:rsidR="00EF5C85">
        <w:rPr>
          <w:color w:val="141313" w:themeColor="text1"/>
          <w:sz w:val="18"/>
          <w:lang w:val="en-GB"/>
        </w:rPr>
        <w:t xml:space="preserve"> conventional fuels and LNG depends on the region. In Japan for example, the LNG discount   compared to marine fuels (HFO with 1% sulphur content as a proxy) </w:t>
      </w:r>
      <w:r w:rsidR="00A5139E">
        <w:rPr>
          <w:color w:val="141313" w:themeColor="text1"/>
          <w:sz w:val="18"/>
          <w:lang w:val="en-GB"/>
        </w:rPr>
        <w:t>has been</w:t>
      </w:r>
      <w:r w:rsidR="00CB1301">
        <w:rPr>
          <w:color w:val="141313" w:themeColor="text1"/>
          <w:sz w:val="18"/>
          <w:lang w:val="en-GB"/>
        </w:rPr>
        <w:t xml:space="preserve"> marginal through Q1 2013</w:t>
      </w:r>
      <w:r w:rsidR="00EF5C85">
        <w:rPr>
          <w:color w:val="141313" w:themeColor="text1"/>
          <w:sz w:val="18"/>
          <w:lang w:val="en-GB"/>
        </w:rPr>
        <w:t xml:space="preserve">.  However, compared to </w:t>
      </w:r>
      <w:r w:rsidR="00954A0E">
        <w:rPr>
          <w:color w:val="141313" w:themeColor="text1"/>
          <w:sz w:val="18"/>
          <w:lang w:val="en-GB"/>
        </w:rPr>
        <w:t>non-marine fuel (i.e. gasoline)</w:t>
      </w:r>
      <w:proofErr w:type="gramStart"/>
      <w:r w:rsidR="00954A0E">
        <w:rPr>
          <w:color w:val="141313" w:themeColor="text1"/>
          <w:sz w:val="18"/>
          <w:lang w:val="en-GB"/>
        </w:rPr>
        <w:t>,</w:t>
      </w:r>
      <w:proofErr w:type="gramEnd"/>
      <w:r w:rsidR="00EF5C85">
        <w:rPr>
          <w:color w:val="141313" w:themeColor="text1"/>
          <w:sz w:val="18"/>
          <w:lang w:val="en-GB"/>
        </w:rPr>
        <w:t xml:space="preserve"> the gap has been wider averaging $4.50/</w:t>
      </w:r>
      <w:proofErr w:type="spellStart"/>
      <w:r w:rsidR="00EF5C85">
        <w:rPr>
          <w:color w:val="141313" w:themeColor="text1"/>
          <w:sz w:val="18"/>
          <w:lang w:val="en-GB"/>
        </w:rPr>
        <w:t>mmBtu</w:t>
      </w:r>
      <w:proofErr w:type="spellEnd"/>
      <w:r w:rsidR="00EF5C85">
        <w:rPr>
          <w:color w:val="141313" w:themeColor="text1"/>
          <w:sz w:val="18"/>
          <w:lang w:val="en-GB"/>
        </w:rPr>
        <w:t xml:space="preserve">. </w:t>
      </w:r>
      <w:r w:rsidR="00747B92">
        <w:rPr>
          <w:color w:val="141313" w:themeColor="text1"/>
          <w:sz w:val="18"/>
          <w:lang w:val="en-GB"/>
        </w:rPr>
        <w:t xml:space="preserve"> </w:t>
      </w:r>
      <w:r w:rsidR="00CB1301">
        <w:rPr>
          <w:color w:val="141313" w:themeColor="text1"/>
          <w:sz w:val="18"/>
          <w:lang w:val="en-GB"/>
        </w:rPr>
        <w:t>The incentive to switch from HFO or gasoline to LNG is much more substantial in Spain with a $5-10/</w:t>
      </w:r>
      <w:proofErr w:type="spellStart"/>
      <w:r w:rsidR="00CB1301">
        <w:rPr>
          <w:color w:val="141313" w:themeColor="text1"/>
          <w:sz w:val="18"/>
          <w:lang w:val="en-GB"/>
        </w:rPr>
        <w:t>mmBtu</w:t>
      </w:r>
      <w:proofErr w:type="spellEnd"/>
      <w:r w:rsidR="00CB1301">
        <w:rPr>
          <w:color w:val="141313" w:themeColor="text1"/>
          <w:sz w:val="18"/>
          <w:lang w:val="en-GB"/>
        </w:rPr>
        <w:t xml:space="preserve"> difference. </w:t>
      </w:r>
    </w:p>
    <w:tbl>
      <w:tblPr>
        <w:tblpPr w:leftFromText="180" w:rightFromText="180" w:vertAnchor="text" w:horzAnchor="margin" w:tblpY="54"/>
        <w:tblW w:w="4975" w:type="dxa"/>
        <w:tblLayout w:type="fixed"/>
        <w:tblLook w:val="01E0"/>
      </w:tblPr>
      <w:tblGrid>
        <w:gridCol w:w="4975"/>
      </w:tblGrid>
      <w:tr w:rsidR="00CB1301" w:rsidRPr="00A918C1" w:rsidTr="00CB1301">
        <w:trPr>
          <w:trHeight w:val="2938"/>
        </w:trPr>
        <w:tc>
          <w:tcPr>
            <w:tcW w:w="4975" w:type="dxa"/>
          </w:tcPr>
          <w:p w:rsidR="00CB1301" w:rsidRDefault="00CB1301" w:rsidP="00CB1301">
            <w:pPr>
              <w:pStyle w:val="PFCBulletedText2"/>
              <w:spacing w:before="120" w:after="0"/>
              <w:ind w:left="0" w:firstLine="0"/>
              <w:jc w:val="left"/>
              <w:rPr>
                <w:noProof/>
                <w:lang w:eastAsia="en-US"/>
              </w:rPr>
            </w:pPr>
            <w:r>
              <w:rPr>
                <w:noProof/>
                <w:lang w:val="fr-FR" w:eastAsia="zh-CN"/>
              </w:rPr>
              <w:drawing>
                <wp:inline distT="0" distB="0" distL="0" distR="0">
                  <wp:extent cx="3021330" cy="2051685"/>
                  <wp:effectExtent l="19050" t="0" r="762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3021330" cy="2051685"/>
                          </a:xfrm>
                          <a:prstGeom prst="rect">
                            <a:avLst/>
                          </a:prstGeom>
                          <a:noFill/>
                          <a:ln w="9525">
                            <a:noFill/>
                            <a:miter lim="800000"/>
                            <a:headEnd/>
                            <a:tailEnd/>
                          </a:ln>
                        </pic:spPr>
                      </pic:pic>
                    </a:graphicData>
                  </a:graphic>
                </wp:inline>
              </w:drawing>
            </w:r>
          </w:p>
          <w:p w:rsidR="00CB1301" w:rsidRDefault="00CB1301" w:rsidP="00CB1301">
            <w:pPr>
              <w:pStyle w:val="PFCBulletedText2"/>
              <w:ind w:left="0" w:firstLine="0"/>
              <w:jc w:val="left"/>
              <w:rPr>
                <w:b/>
                <w:sz w:val="18"/>
                <w:szCs w:val="18"/>
              </w:rPr>
            </w:pPr>
            <w:r>
              <w:rPr>
                <w:b/>
                <w:sz w:val="18"/>
                <w:szCs w:val="18"/>
              </w:rPr>
              <w:t>Figure 8.3</w:t>
            </w:r>
            <w:r w:rsidRPr="005733C3">
              <w:rPr>
                <w:b/>
                <w:sz w:val="18"/>
                <w:szCs w:val="18"/>
              </w:rPr>
              <w:t>:</w:t>
            </w:r>
            <w:r>
              <w:rPr>
                <w:b/>
                <w:sz w:val="18"/>
                <w:szCs w:val="18"/>
              </w:rPr>
              <w:t xml:space="preserve">  Fuel Price Comparison</w:t>
            </w:r>
            <w:r w:rsidRPr="00000382">
              <w:rPr>
                <w:b/>
                <w:sz w:val="18"/>
                <w:szCs w:val="18"/>
              </w:rPr>
              <w:t>,</w:t>
            </w:r>
            <w:r>
              <w:rPr>
                <w:b/>
                <w:sz w:val="18"/>
                <w:szCs w:val="18"/>
              </w:rPr>
              <w:t xml:space="preserve"> Jan 2008-Feb 2013</w:t>
            </w:r>
          </w:p>
          <w:p w:rsidR="00CB1301" w:rsidRDefault="00CB1301" w:rsidP="00CB1301">
            <w:pPr>
              <w:pStyle w:val="PFCBulletedText2"/>
              <w:ind w:left="0" w:firstLine="0"/>
              <w:jc w:val="left"/>
              <w:rPr>
                <w:i/>
                <w:sz w:val="16"/>
                <w:szCs w:val="16"/>
              </w:rPr>
            </w:pPr>
            <w:r>
              <w:rPr>
                <w:i/>
                <w:sz w:val="16"/>
                <w:szCs w:val="16"/>
              </w:rPr>
              <w:t>Note: Ranges refer to price benchmark differentials between US Gulf, Latin America, Northwest Europe, and Southeast Asia</w:t>
            </w:r>
          </w:p>
          <w:p w:rsidR="00CB1301" w:rsidRPr="002055A2" w:rsidRDefault="00CB1301" w:rsidP="00CB1301">
            <w:pPr>
              <w:pStyle w:val="PFCBulletedText2"/>
              <w:ind w:left="0" w:firstLine="0"/>
              <w:jc w:val="left"/>
              <w:rPr>
                <w:b/>
                <w:sz w:val="18"/>
                <w:szCs w:val="18"/>
              </w:rPr>
            </w:pPr>
            <w:r w:rsidRPr="005733C3">
              <w:rPr>
                <w:i/>
                <w:sz w:val="16"/>
                <w:szCs w:val="16"/>
              </w:rPr>
              <w:t xml:space="preserve">Sources: </w:t>
            </w:r>
            <w:r>
              <w:rPr>
                <w:i/>
                <w:sz w:val="16"/>
                <w:szCs w:val="16"/>
              </w:rPr>
              <w:t>Bloomberg, PFC Energy</w:t>
            </w:r>
          </w:p>
        </w:tc>
      </w:tr>
    </w:tbl>
    <w:p w:rsidR="00CB1301" w:rsidRDefault="00CB1301" w:rsidP="00EF5C85">
      <w:pPr>
        <w:spacing w:line="252" w:lineRule="auto"/>
        <w:ind w:left="180"/>
        <w:jc w:val="both"/>
        <w:rPr>
          <w:b/>
          <w:color w:val="215A99"/>
          <w:sz w:val="18"/>
          <w:lang w:val="en-GB"/>
        </w:rPr>
      </w:pPr>
    </w:p>
    <w:p w:rsidR="00EF5C85" w:rsidRPr="00EF5C85" w:rsidRDefault="00EF5C85" w:rsidP="00EF5C85">
      <w:pPr>
        <w:spacing w:line="252" w:lineRule="auto"/>
        <w:ind w:left="180"/>
        <w:jc w:val="both"/>
        <w:rPr>
          <w:color w:val="141313" w:themeColor="text1"/>
          <w:sz w:val="18"/>
          <w:lang w:val="en-GB"/>
        </w:rPr>
      </w:pPr>
      <w:proofErr w:type="gramStart"/>
      <w:r>
        <w:rPr>
          <w:b/>
          <w:color w:val="215A99"/>
          <w:sz w:val="18"/>
          <w:lang w:val="en-GB"/>
        </w:rPr>
        <w:t>Government S</w:t>
      </w:r>
      <w:r w:rsidRPr="007A79DB">
        <w:rPr>
          <w:b/>
          <w:color w:val="215A99"/>
          <w:sz w:val="18"/>
          <w:lang w:val="en-GB"/>
        </w:rPr>
        <w:t>upport.</w:t>
      </w:r>
      <w:proofErr w:type="gramEnd"/>
      <w:r>
        <w:rPr>
          <w:color w:val="141313" w:themeColor="text1"/>
          <w:sz w:val="18"/>
          <w:lang w:val="en-GB"/>
        </w:rPr>
        <w:t xml:space="preserve"> Some governments have announced support for L</w:t>
      </w:r>
      <w:r w:rsidR="00CB1301">
        <w:rPr>
          <w:color w:val="141313" w:themeColor="text1"/>
          <w:sz w:val="18"/>
          <w:lang w:val="en-GB"/>
        </w:rPr>
        <w:t xml:space="preserve">NG in the use of transportation.  </w:t>
      </w:r>
      <w:r>
        <w:rPr>
          <w:color w:val="141313" w:themeColor="text1"/>
          <w:sz w:val="18"/>
          <w:lang w:val="en-GB"/>
        </w:rPr>
        <w:t>I</w:t>
      </w:r>
      <w:r>
        <w:rPr>
          <w:sz w:val="18"/>
          <w:lang w:val="en-GB"/>
        </w:rPr>
        <w:t>n Europe</w:t>
      </w:r>
      <w:r w:rsidR="00CB1301">
        <w:rPr>
          <w:sz w:val="18"/>
          <w:lang w:val="en-GB"/>
        </w:rPr>
        <w:t xml:space="preserve"> for example</w:t>
      </w:r>
      <w:r>
        <w:rPr>
          <w:sz w:val="18"/>
          <w:lang w:val="en-GB"/>
        </w:rPr>
        <w:t xml:space="preserve">, </w:t>
      </w:r>
      <w:r w:rsidRPr="00A31D89">
        <w:rPr>
          <w:sz w:val="18"/>
          <w:lang w:val="en-GB"/>
        </w:rPr>
        <w:t xml:space="preserve">the European Commission published </w:t>
      </w:r>
      <w:r>
        <w:rPr>
          <w:sz w:val="18"/>
          <w:lang w:val="en-GB"/>
        </w:rPr>
        <w:t xml:space="preserve">in January 2013 </w:t>
      </w:r>
      <w:r w:rsidRPr="00A31D89">
        <w:rPr>
          <w:sz w:val="18"/>
          <w:lang w:val="en-GB"/>
        </w:rPr>
        <w:t xml:space="preserve">a draft new Directive aimed at ensuring new infrastructure for alternative clean fuels. The draft directive identifies LNG as a preferred fuel for marine and heavy-duty transport and requires European ports to be able to provide LNG bunker services. </w:t>
      </w:r>
      <w:r w:rsidRPr="00EF5C85">
        <w:rPr>
          <w:sz w:val="18"/>
          <w:lang w:val="en-GB"/>
        </w:rPr>
        <w:t>Meanwhile, funds have been allocated by several European bodies to projects for building new LNG bunkering infrastructures. Most of them are located along the Northern European coast but Mediterranean countries have recently launched a study with the same objective.</w:t>
      </w:r>
    </w:p>
    <w:p w:rsidR="00EF5C85" w:rsidRDefault="00645870" w:rsidP="00645870">
      <w:pPr>
        <w:pStyle w:val="Titre2"/>
        <w:ind w:firstLine="180"/>
        <w:rPr>
          <w:lang w:val="en-GB"/>
        </w:rPr>
      </w:pPr>
      <w:bookmarkStart w:id="46" w:name="_Toc360628267"/>
      <w:r>
        <w:rPr>
          <w:lang w:val="en-GB"/>
        </w:rPr>
        <w:t>8</w:t>
      </w:r>
      <w:r w:rsidR="00EF5C85">
        <w:rPr>
          <w:lang w:val="en-GB"/>
        </w:rPr>
        <w:t>.2</w:t>
      </w:r>
      <w:r w:rsidR="00EF5C85" w:rsidRPr="00564DBB">
        <w:rPr>
          <w:lang w:val="en-GB"/>
        </w:rPr>
        <w:t xml:space="preserve"> </w:t>
      </w:r>
      <w:r w:rsidR="00EF5C85">
        <w:rPr>
          <w:lang w:val="en-GB"/>
        </w:rPr>
        <w:t>CONSTRAINTS THE INDUSTRY MUST OVERCOME</w:t>
      </w:r>
      <w:bookmarkEnd w:id="46"/>
    </w:p>
    <w:p w:rsidR="00EF5C85" w:rsidRDefault="00EF5C85" w:rsidP="00733532">
      <w:pPr>
        <w:spacing w:line="252" w:lineRule="auto"/>
        <w:ind w:left="180"/>
        <w:jc w:val="both"/>
        <w:rPr>
          <w:sz w:val="18"/>
          <w:lang w:val="en-GB"/>
        </w:rPr>
      </w:pPr>
    </w:p>
    <w:p w:rsidR="00EF5C85" w:rsidRDefault="00EF5C85" w:rsidP="00EF5C85">
      <w:pPr>
        <w:spacing w:line="252" w:lineRule="auto"/>
        <w:ind w:left="180"/>
        <w:jc w:val="both"/>
        <w:rPr>
          <w:color w:val="141313" w:themeColor="text1"/>
          <w:sz w:val="18"/>
          <w:lang w:val="en-GB"/>
        </w:rPr>
      </w:pPr>
      <w:proofErr w:type="gramStart"/>
      <w:r w:rsidRPr="007A79DB">
        <w:rPr>
          <w:b/>
          <w:color w:val="215A99"/>
          <w:sz w:val="18"/>
          <w:lang w:val="en-GB"/>
        </w:rPr>
        <w:t>Infrastructure Investment.</w:t>
      </w:r>
      <w:proofErr w:type="gramEnd"/>
      <w:r w:rsidRPr="007A79DB">
        <w:rPr>
          <w:b/>
          <w:color w:val="215A99"/>
          <w:sz w:val="18"/>
          <w:lang w:val="en-GB"/>
        </w:rPr>
        <w:t xml:space="preserve"> </w:t>
      </w:r>
      <w:r>
        <w:rPr>
          <w:color w:val="141313" w:themeColor="text1"/>
          <w:sz w:val="18"/>
          <w:lang w:val="en-GB"/>
        </w:rPr>
        <w:t xml:space="preserve">The most challenging hurdle </w:t>
      </w:r>
      <w:r>
        <w:rPr>
          <w:color w:val="141313" w:themeColor="text1"/>
          <w:sz w:val="18"/>
          <w:lang w:val="en-GB"/>
        </w:rPr>
        <w:lastRenderedPageBreak/>
        <w:t xml:space="preserve">for maximizing LNG use in the transport sector is the substantial investments in associated infrastructure.  This would range from LNG storage to refuelling stations both for road transport and bunkering.   </w:t>
      </w:r>
    </w:p>
    <w:p w:rsidR="00EF5C85" w:rsidRDefault="00EF5C85" w:rsidP="00EF5C85">
      <w:pPr>
        <w:spacing w:line="252" w:lineRule="auto"/>
        <w:ind w:left="180"/>
        <w:jc w:val="both"/>
        <w:rPr>
          <w:color w:val="141313" w:themeColor="text1"/>
          <w:sz w:val="18"/>
          <w:lang w:val="en-GB"/>
        </w:rPr>
      </w:pPr>
    </w:p>
    <w:p w:rsidR="00EF5C85" w:rsidRDefault="00EF5C85" w:rsidP="00EF5C85">
      <w:pPr>
        <w:spacing w:line="252" w:lineRule="auto"/>
        <w:ind w:left="180"/>
        <w:jc w:val="both"/>
        <w:rPr>
          <w:color w:val="141313" w:themeColor="text1"/>
          <w:sz w:val="18"/>
          <w:lang w:val="en-GB"/>
        </w:rPr>
      </w:pPr>
      <w:r>
        <w:rPr>
          <w:color w:val="141313" w:themeColor="text1"/>
          <w:sz w:val="18"/>
          <w:lang w:val="en-GB"/>
        </w:rPr>
        <w:t xml:space="preserve">Many analysts point to a chicken and egg problem in developing the infrastructure, especially for LNG as a bunker fuel.  Ship owners will be hesitant in using LNG as fuel if there is limited infrastructure.  But bunker ports will be unwilling to invest in the requisite infrastructure if there is uncertain demand. </w:t>
      </w:r>
    </w:p>
    <w:p w:rsidR="00EF5C85" w:rsidRDefault="00EF5C85" w:rsidP="00733532">
      <w:pPr>
        <w:spacing w:line="252" w:lineRule="auto"/>
        <w:ind w:left="180"/>
        <w:jc w:val="both"/>
        <w:rPr>
          <w:sz w:val="18"/>
          <w:lang w:val="en-GB"/>
        </w:rPr>
      </w:pPr>
    </w:p>
    <w:p w:rsidR="00EF5C85" w:rsidRDefault="00EF5C85" w:rsidP="00EF5C85">
      <w:pPr>
        <w:spacing w:line="252" w:lineRule="auto"/>
        <w:ind w:left="180"/>
        <w:jc w:val="both"/>
        <w:rPr>
          <w:color w:val="141313" w:themeColor="text1"/>
          <w:sz w:val="18"/>
          <w:lang w:val="en-GB"/>
        </w:rPr>
      </w:pPr>
      <w:r>
        <w:rPr>
          <w:color w:val="141313" w:themeColor="text1"/>
          <w:sz w:val="18"/>
          <w:lang w:val="en-GB"/>
        </w:rPr>
        <w:t>Some LNG refuelling stations for road transport already exists and a lot of projects are under development (see Sections 10.3 and 10.4) adding more credibility to this evolving business.</w:t>
      </w:r>
    </w:p>
    <w:p w:rsidR="00EF5C85" w:rsidRDefault="00EF5C85" w:rsidP="00733532">
      <w:pPr>
        <w:spacing w:line="252" w:lineRule="auto"/>
        <w:ind w:left="180"/>
        <w:jc w:val="both"/>
        <w:rPr>
          <w:sz w:val="18"/>
          <w:lang w:val="en-GB"/>
        </w:rPr>
      </w:pPr>
    </w:p>
    <w:p w:rsidR="00EF5C85" w:rsidRDefault="00EF5C85" w:rsidP="00EF5C85">
      <w:pPr>
        <w:spacing w:line="252" w:lineRule="auto"/>
        <w:ind w:left="180"/>
        <w:jc w:val="both"/>
        <w:rPr>
          <w:sz w:val="18"/>
          <w:lang w:val="en-GB"/>
        </w:rPr>
      </w:pPr>
      <w:proofErr w:type="gramStart"/>
      <w:r w:rsidRPr="007A79DB">
        <w:rPr>
          <w:b/>
          <w:color w:val="215A99"/>
          <w:sz w:val="18"/>
          <w:lang w:val="en-GB"/>
        </w:rPr>
        <w:t>Regulation and Codes.</w:t>
      </w:r>
      <w:proofErr w:type="gramEnd"/>
      <w:r w:rsidRPr="00D55B9C">
        <w:rPr>
          <w:sz w:val="18"/>
          <w:lang w:val="en-GB"/>
        </w:rPr>
        <w:t xml:space="preserve"> </w:t>
      </w:r>
      <w:r>
        <w:rPr>
          <w:sz w:val="18"/>
          <w:lang w:val="en-GB"/>
        </w:rPr>
        <w:t>Establishing a strong regulatory framework that is acceptable to the industry could be a time-intensive process.  This has been the case in other sectors of the energy industry</w:t>
      </w:r>
      <w:r w:rsidRPr="00D55B9C">
        <w:rPr>
          <w:sz w:val="18"/>
          <w:lang w:val="en-GB"/>
        </w:rPr>
        <w:t xml:space="preserve">. </w:t>
      </w:r>
      <w:r>
        <w:rPr>
          <w:sz w:val="18"/>
          <w:lang w:val="en-GB"/>
        </w:rPr>
        <w:t xml:space="preserve">The liquefied natural gas industry more specifically has a commendable safety </w:t>
      </w:r>
      <w:r w:rsidRPr="00D55B9C">
        <w:rPr>
          <w:sz w:val="18"/>
          <w:lang w:val="en-GB"/>
        </w:rPr>
        <w:t>reco</w:t>
      </w:r>
      <w:r>
        <w:rPr>
          <w:sz w:val="18"/>
          <w:lang w:val="en-GB"/>
        </w:rPr>
        <w:t xml:space="preserve">rd, and this is largely due to the strict measures associated with each part of the value chain. </w:t>
      </w:r>
    </w:p>
    <w:p w:rsidR="00EF5C85" w:rsidRDefault="00EF5C85" w:rsidP="00733532">
      <w:pPr>
        <w:spacing w:line="252" w:lineRule="auto"/>
        <w:ind w:left="180"/>
        <w:jc w:val="both"/>
        <w:rPr>
          <w:sz w:val="18"/>
          <w:lang w:val="en-GB"/>
        </w:rPr>
      </w:pPr>
    </w:p>
    <w:p w:rsidR="00EF5C85" w:rsidRDefault="00EF5C85" w:rsidP="00EF5C85">
      <w:pPr>
        <w:spacing w:line="252" w:lineRule="auto"/>
        <w:ind w:left="180"/>
        <w:jc w:val="both"/>
        <w:rPr>
          <w:sz w:val="18"/>
          <w:lang w:val="en-GB"/>
        </w:rPr>
      </w:pPr>
      <w:proofErr w:type="gramStart"/>
      <w:r w:rsidRPr="007A79DB">
        <w:rPr>
          <w:b/>
          <w:color w:val="215A99"/>
          <w:sz w:val="18"/>
          <w:lang w:val="en-GB"/>
        </w:rPr>
        <w:t>LNG Supply Availability.</w:t>
      </w:r>
      <w:proofErr w:type="gramEnd"/>
      <w:r w:rsidRPr="007A79DB">
        <w:rPr>
          <w:color w:val="215A99"/>
          <w:sz w:val="18"/>
          <w:lang w:val="en-GB"/>
        </w:rPr>
        <w:t xml:space="preserve"> </w:t>
      </w:r>
      <w:r>
        <w:rPr>
          <w:sz w:val="18"/>
          <w:lang w:val="en-GB"/>
        </w:rPr>
        <w:t xml:space="preserve">Another major constraint to LNG in transport is the availability of the resource.  Through 2015, the LNG market will be supply-constrained until a wave of new Asia Pacific capacity comes online.  Although North America and other regions have the potential to deliver significant new volumes to the market, demand is growing globally, especially in Asia.  Thus, transportation operators may need to demonstrate a high willingness to pay to firm up supply competing against more traditional buyers.  </w:t>
      </w:r>
    </w:p>
    <w:p w:rsidR="00EF5C85" w:rsidRDefault="00EF5C85" w:rsidP="00733532">
      <w:pPr>
        <w:spacing w:line="252" w:lineRule="auto"/>
        <w:ind w:left="180"/>
        <w:jc w:val="both"/>
        <w:rPr>
          <w:sz w:val="18"/>
          <w:lang w:val="en-GB"/>
        </w:rPr>
      </w:pPr>
    </w:p>
    <w:p w:rsidR="00EF5C85" w:rsidRPr="00D55B9C" w:rsidRDefault="00EF5C85" w:rsidP="00EF5C85">
      <w:pPr>
        <w:spacing w:line="252" w:lineRule="auto"/>
        <w:ind w:left="180"/>
        <w:jc w:val="both"/>
        <w:rPr>
          <w:sz w:val="18"/>
          <w:lang w:val="en-GB"/>
        </w:rPr>
      </w:pPr>
      <w:r>
        <w:rPr>
          <w:sz w:val="18"/>
          <w:lang w:val="en-GB"/>
        </w:rPr>
        <w:t xml:space="preserve">Thus far, small-scale liquefaction plants (producing less than 0.5 MTPA) are fuelling LNG trucking projects.  However, there may need to be a proliferation of these types of projects to boost LNG use in transport to a more substantial level. </w:t>
      </w:r>
      <w:r w:rsidRPr="00D55B9C">
        <w:rPr>
          <w:sz w:val="18"/>
          <w:lang w:val="en-GB"/>
        </w:rPr>
        <w:t xml:space="preserve"> </w:t>
      </w:r>
    </w:p>
    <w:p w:rsidR="00EF5C85" w:rsidRDefault="00645870" w:rsidP="00645870">
      <w:pPr>
        <w:pStyle w:val="Titre2"/>
        <w:ind w:firstLine="180"/>
        <w:rPr>
          <w:lang w:val="en-GB"/>
        </w:rPr>
      </w:pPr>
      <w:bookmarkStart w:id="47" w:name="_Toc360628268"/>
      <w:r>
        <w:rPr>
          <w:lang w:val="en-GB"/>
        </w:rPr>
        <w:t>8</w:t>
      </w:r>
      <w:r w:rsidR="00EF5C85">
        <w:rPr>
          <w:lang w:val="en-GB"/>
        </w:rPr>
        <w:t>.3</w:t>
      </w:r>
      <w:r w:rsidR="00EF5C85" w:rsidRPr="00564DBB">
        <w:rPr>
          <w:lang w:val="en-GB"/>
        </w:rPr>
        <w:t xml:space="preserve"> </w:t>
      </w:r>
      <w:r w:rsidR="00EF5C85">
        <w:rPr>
          <w:lang w:val="en-GB"/>
        </w:rPr>
        <w:t>THE EXISTING BUNKER FUEL BUSINESS</w:t>
      </w:r>
      <w:bookmarkEnd w:id="47"/>
    </w:p>
    <w:p w:rsidR="00EF5C85" w:rsidRDefault="00EF5C85" w:rsidP="00EF5C85">
      <w:pPr>
        <w:spacing w:line="252" w:lineRule="auto"/>
        <w:ind w:left="180"/>
        <w:jc w:val="both"/>
        <w:rPr>
          <w:b/>
          <w:color w:val="215A99"/>
          <w:sz w:val="18"/>
          <w:lang w:val="en-GB"/>
        </w:rPr>
      </w:pPr>
    </w:p>
    <w:p w:rsidR="00EF5C85" w:rsidRDefault="00EF5C85" w:rsidP="00EF5C85">
      <w:pPr>
        <w:spacing w:line="252" w:lineRule="auto"/>
        <w:ind w:left="180"/>
        <w:jc w:val="both"/>
        <w:rPr>
          <w:sz w:val="18"/>
          <w:lang w:val="en-GB"/>
        </w:rPr>
      </w:pPr>
      <w:r>
        <w:rPr>
          <w:sz w:val="18"/>
          <w:lang w:val="en-GB"/>
        </w:rPr>
        <w:t xml:space="preserve">Currently there are few vessels that are capable of using LNG as bunker fuel (apart from LNG carriers) and these are mainly in OECD countries.  These vessels have been used in a variety of sectors in the shipping industry ranging from tourism to raw materials to offshore oil drilling. </w:t>
      </w:r>
    </w:p>
    <w:p w:rsidR="00EF5C85" w:rsidRDefault="00EF5C85" w:rsidP="00EF5C85">
      <w:pPr>
        <w:spacing w:line="252" w:lineRule="auto"/>
        <w:ind w:left="180"/>
        <w:jc w:val="both"/>
        <w:rPr>
          <w:b/>
          <w:color w:val="215A99"/>
          <w:sz w:val="18"/>
          <w:lang w:val="en-GB"/>
        </w:rPr>
      </w:pPr>
    </w:p>
    <w:p w:rsidR="00EF5C85" w:rsidRDefault="00EF5C85" w:rsidP="00EF5C85">
      <w:pPr>
        <w:spacing w:line="252" w:lineRule="auto"/>
        <w:ind w:left="180"/>
        <w:jc w:val="both"/>
        <w:rPr>
          <w:sz w:val="18"/>
          <w:lang w:val="en-GB"/>
        </w:rPr>
      </w:pPr>
      <w:r>
        <w:rPr>
          <w:sz w:val="18"/>
          <w:lang w:val="en-GB"/>
        </w:rPr>
        <w:t xml:space="preserve">Most of the world’s LNG-fuelled ships are located in </w:t>
      </w:r>
      <w:r w:rsidRPr="007A79DB">
        <w:rPr>
          <w:b/>
          <w:color w:val="215A99"/>
          <w:sz w:val="18"/>
          <w:lang w:val="en-GB"/>
        </w:rPr>
        <w:t>Europe</w:t>
      </w:r>
      <w:r>
        <w:rPr>
          <w:sz w:val="18"/>
          <w:lang w:val="en-GB"/>
        </w:rPr>
        <w:t xml:space="preserve"> since stringent sulphur content regulations have already been in effect since 2005.  A 2012 IGU and UN Economic Commission for Europe study notes that LNG bunkering is especially prevalent in Norway and to a lesser degree in Sweden.  Small-scale LNG operations are mostly catering to the industry in Norway – though Snøhvit LNG provides some LNG to </w:t>
      </w:r>
      <w:r w:rsidRPr="0067296A">
        <w:rPr>
          <w:sz w:val="18"/>
          <w:lang w:val="en-GB"/>
        </w:rPr>
        <w:t xml:space="preserve">Barents </w:t>
      </w:r>
      <w:proofErr w:type="spellStart"/>
      <w:r w:rsidRPr="0067296A">
        <w:rPr>
          <w:sz w:val="18"/>
          <w:lang w:val="en-GB"/>
        </w:rPr>
        <w:t>Naturgass</w:t>
      </w:r>
      <w:proofErr w:type="spellEnd"/>
      <w:r>
        <w:rPr>
          <w:sz w:val="18"/>
          <w:lang w:val="en-GB"/>
        </w:rPr>
        <w:t xml:space="preserve">’ </w:t>
      </w:r>
      <w:r>
        <w:rPr>
          <w:sz w:val="18"/>
          <w:lang w:val="en-GB"/>
        </w:rPr>
        <w:lastRenderedPageBreak/>
        <w:t xml:space="preserve">bunker terminal in Norway.  </w:t>
      </w:r>
    </w:p>
    <w:p w:rsidR="00EF5C85" w:rsidRDefault="00EF5C85" w:rsidP="00EF5C85">
      <w:pPr>
        <w:spacing w:line="252" w:lineRule="auto"/>
        <w:ind w:left="180"/>
        <w:jc w:val="both"/>
        <w:rPr>
          <w:sz w:val="18"/>
          <w:lang w:val="en-GB"/>
        </w:rPr>
      </w:pPr>
    </w:p>
    <w:p w:rsidR="00D42F11" w:rsidRDefault="00EF5C85" w:rsidP="00EF5C85">
      <w:pPr>
        <w:spacing w:line="252" w:lineRule="auto"/>
        <w:ind w:left="180"/>
        <w:jc w:val="both"/>
        <w:rPr>
          <w:sz w:val="18"/>
          <w:lang w:val="en-GB"/>
        </w:rPr>
      </w:pPr>
      <w:r>
        <w:rPr>
          <w:sz w:val="18"/>
          <w:lang w:val="en-GB"/>
        </w:rPr>
        <w:t>Beyond Norway and Sweden, there is interest in developing LNG fuelling capac</w:t>
      </w:r>
      <w:r w:rsidR="00D42F11">
        <w:rPr>
          <w:sz w:val="18"/>
          <w:lang w:val="en-GB"/>
        </w:rPr>
        <w:t>ity for vessels at various ports</w:t>
      </w:r>
      <w:r>
        <w:rPr>
          <w:sz w:val="18"/>
          <w:lang w:val="en-GB"/>
        </w:rPr>
        <w:t xml:space="preserve"> in the Netherlands, Belgium, United Kingdom,</w:t>
      </w:r>
      <w:r w:rsidR="00D42F11">
        <w:rPr>
          <w:sz w:val="18"/>
          <w:lang w:val="en-GB"/>
        </w:rPr>
        <w:t xml:space="preserve"> and France. Specifically, the </w:t>
      </w:r>
      <w:r>
        <w:rPr>
          <w:sz w:val="18"/>
          <w:lang w:val="en-GB"/>
        </w:rPr>
        <w:t xml:space="preserve">port of Rotterdam in the </w:t>
      </w:r>
      <w:r w:rsidR="00D42F11">
        <w:rPr>
          <w:sz w:val="18"/>
          <w:lang w:val="en-GB"/>
        </w:rPr>
        <w:t xml:space="preserve">Netherlands expects to begin LNG bunkering by 2014. </w:t>
      </w:r>
    </w:p>
    <w:p w:rsidR="00D42F11" w:rsidRDefault="00D42F11" w:rsidP="00EF5C85">
      <w:pPr>
        <w:spacing w:line="252" w:lineRule="auto"/>
        <w:ind w:left="180"/>
        <w:jc w:val="both"/>
        <w:rPr>
          <w:sz w:val="18"/>
          <w:lang w:val="en-GB"/>
        </w:rPr>
      </w:pPr>
    </w:p>
    <w:p w:rsidR="00D42F11" w:rsidRPr="00D55B9C" w:rsidRDefault="00D42F11" w:rsidP="00D42F11">
      <w:pPr>
        <w:spacing w:line="252" w:lineRule="auto"/>
        <w:ind w:left="180"/>
        <w:jc w:val="both"/>
        <w:rPr>
          <w:sz w:val="18"/>
          <w:lang w:val="en-GB"/>
        </w:rPr>
      </w:pPr>
      <w:r>
        <w:rPr>
          <w:sz w:val="18"/>
          <w:lang w:val="en-GB"/>
        </w:rPr>
        <w:t xml:space="preserve">In the </w:t>
      </w:r>
      <w:r w:rsidRPr="007A79DB">
        <w:rPr>
          <w:b/>
          <w:color w:val="215A99"/>
          <w:sz w:val="18"/>
          <w:lang w:val="en-GB"/>
        </w:rPr>
        <w:t>U</w:t>
      </w:r>
      <w:r>
        <w:rPr>
          <w:b/>
          <w:color w:val="215A99"/>
          <w:sz w:val="18"/>
          <w:lang w:val="en-GB"/>
        </w:rPr>
        <w:t xml:space="preserve">nited </w:t>
      </w:r>
      <w:r w:rsidRPr="007A79DB">
        <w:rPr>
          <w:b/>
          <w:color w:val="215A99"/>
          <w:sz w:val="18"/>
          <w:lang w:val="en-GB"/>
        </w:rPr>
        <w:t>S</w:t>
      </w:r>
      <w:r>
        <w:rPr>
          <w:b/>
          <w:color w:val="215A99"/>
          <w:sz w:val="18"/>
          <w:lang w:val="en-GB"/>
        </w:rPr>
        <w:t>tates</w:t>
      </w:r>
      <w:r w:rsidRPr="007A79DB">
        <w:rPr>
          <w:b/>
          <w:color w:val="215A99"/>
          <w:sz w:val="18"/>
          <w:lang w:val="en-GB"/>
        </w:rPr>
        <w:t xml:space="preserve"> and Canada</w:t>
      </w:r>
      <w:r>
        <w:rPr>
          <w:sz w:val="18"/>
          <w:lang w:val="en-GB"/>
        </w:rPr>
        <w:t xml:space="preserve">, Harvey Gulf International Marine (specializing in assisting the offshore oil industry for towing) plans to add new vessels to its fleet that already includes five LNG-fuelled vessels.  Similarly two tourism-related companies British Columbia Ferries (private) and Washington State Ferries (state-owned) are considering converting their fleets to LNG.  </w:t>
      </w:r>
      <w:proofErr w:type="spellStart"/>
      <w:r>
        <w:rPr>
          <w:sz w:val="18"/>
          <w:lang w:val="en-GB"/>
        </w:rPr>
        <w:t>Interlakes</w:t>
      </w:r>
      <w:proofErr w:type="spellEnd"/>
      <w:r>
        <w:rPr>
          <w:sz w:val="18"/>
          <w:lang w:val="en-GB"/>
        </w:rPr>
        <w:t xml:space="preserve"> Steamship Company (involved in raw materials transport in the US Great Lakes region) has signed a preliminary LNG supply deal with Shell which could accelerate the conversion of several HFO-powered vessels to run on LNG. </w:t>
      </w:r>
    </w:p>
    <w:p w:rsidR="00EF5C85" w:rsidRDefault="00EF5C85" w:rsidP="00EF5C85">
      <w:pPr>
        <w:spacing w:line="252" w:lineRule="auto"/>
        <w:ind w:left="180"/>
        <w:jc w:val="both"/>
        <w:rPr>
          <w:sz w:val="18"/>
          <w:lang w:val="en-GB"/>
        </w:rPr>
      </w:pPr>
    </w:p>
    <w:p w:rsidR="00D42F11" w:rsidRDefault="00D42F11" w:rsidP="00D42F11">
      <w:pPr>
        <w:spacing w:line="252" w:lineRule="auto"/>
        <w:ind w:left="180"/>
        <w:jc w:val="both"/>
        <w:rPr>
          <w:sz w:val="18"/>
          <w:lang w:val="en-GB"/>
        </w:rPr>
      </w:pPr>
      <w:r>
        <w:rPr>
          <w:sz w:val="18"/>
          <w:lang w:val="en-GB"/>
        </w:rPr>
        <w:t xml:space="preserve">Since there are currently no SECAs in </w:t>
      </w:r>
      <w:r w:rsidRPr="007A79DB">
        <w:rPr>
          <w:b/>
          <w:color w:val="215A99"/>
          <w:sz w:val="18"/>
          <w:lang w:val="en-GB"/>
        </w:rPr>
        <w:t>Asia</w:t>
      </w:r>
      <w:r>
        <w:rPr>
          <w:sz w:val="18"/>
          <w:lang w:val="en-GB"/>
        </w:rPr>
        <w:t xml:space="preserve">, there may be less impetus to use LNG compared to Europe and North America.  Singapore is one of the more prominent ports in Asia that plans to introduce LNG bunkering.  The Maritime and Port Authority of Singapore plans to issue regulations for LNG bunkering by 2014-2015, but acknowledges the likelihood that the adoption of this marine fuel in Singapore may take many more years to come to fruition.  </w:t>
      </w:r>
    </w:p>
    <w:p w:rsidR="00D42F11" w:rsidRDefault="00645870" w:rsidP="00645870">
      <w:pPr>
        <w:pStyle w:val="Titre2"/>
        <w:ind w:firstLine="180"/>
        <w:rPr>
          <w:lang w:val="en-GB"/>
        </w:rPr>
      </w:pPr>
      <w:bookmarkStart w:id="48" w:name="_Toc360628269"/>
      <w:proofErr w:type="gramStart"/>
      <w:r>
        <w:rPr>
          <w:lang w:val="en-GB"/>
        </w:rPr>
        <w:t>8</w:t>
      </w:r>
      <w:r w:rsidR="00D42F11">
        <w:rPr>
          <w:lang w:val="en-GB"/>
        </w:rPr>
        <w:t>.</w:t>
      </w:r>
      <w:r>
        <w:rPr>
          <w:lang w:val="en-GB"/>
        </w:rPr>
        <w:t xml:space="preserve">4 </w:t>
      </w:r>
      <w:r w:rsidR="00D42F11" w:rsidRPr="00564DBB">
        <w:rPr>
          <w:lang w:val="en-GB"/>
        </w:rPr>
        <w:t xml:space="preserve"> </w:t>
      </w:r>
      <w:r w:rsidR="00D42F11">
        <w:rPr>
          <w:lang w:val="en-GB"/>
        </w:rPr>
        <w:t>THE</w:t>
      </w:r>
      <w:proofErr w:type="gramEnd"/>
      <w:r w:rsidR="004A2A0E">
        <w:rPr>
          <w:lang w:val="en-GB"/>
        </w:rPr>
        <w:t xml:space="preserve"> EXISTING</w:t>
      </w:r>
      <w:r w:rsidR="00D42F11">
        <w:rPr>
          <w:lang w:val="en-GB"/>
        </w:rPr>
        <w:t xml:space="preserve"> </w:t>
      </w:r>
      <w:r w:rsidR="004A2A0E">
        <w:rPr>
          <w:lang w:val="en-GB"/>
        </w:rPr>
        <w:t>TRUCK</w:t>
      </w:r>
      <w:r w:rsidR="00D42F11">
        <w:rPr>
          <w:lang w:val="en-GB"/>
        </w:rPr>
        <w:t xml:space="preserve"> FUEL BUSINESS</w:t>
      </w:r>
      <w:bookmarkEnd w:id="48"/>
    </w:p>
    <w:p w:rsidR="00645870" w:rsidRDefault="00645870" w:rsidP="00D42F11">
      <w:pPr>
        <w:spacing w:line="252" w:lineRule="auto"/>
        <w:ind w:left="180"/>
        <w:jc w:val="both"/>
        <w:rPr>
          <w:b/>
          <w:color w:val="215A99"/>
          <w:sz w:val="18"/>
          <w:lang w:val="en-GB"/>
        </w:rPr>
      </w:pPr>
    </w:p>
    <w:p w:rsidR="00D42F11" w:rsidRDefault="00D42F11" w:rsidP="00D42F11">
      <w:pPr>
        <w:spacing w:line="252" w:lineRule="auto"/>
        <w:ind w:left="180"/>
        <w:jc w:val="both"/>
        <w:rPr>
          <w:color w:val="141313" w:themeColor="text1"/>
          <w:sz w:val="18"/>
          <w:lang w:val="en-GB"/>
        </w:rPr>
      </w:pPr>
      <w:r>
        <w:rPr>
          <w:color w:val="141313" w:themeColor="text1"/>
          <w:sz w:val="18"/>
          <w:lang w:val="en-GB"/>
        </w:rPr>
        <w:t xml:space="preserve">In road transportation, the potential market for natural gas use in vehicles is segmented by the type of vehicle.  Compressed natural gas (CNG) is more </w:t>
      </w:r>
      <w:r w:rsidR="00CB1301">
        <w:rPr>
          <w:color w:val="141313" w:themeColor="text1"/>
          <w:sz w:val="18"/>
          <w:lang w:val="en-GB"/>
        </w:rPr>
        <w:t>adapted to</w:t>
      </w:r>
      <w:r>
        <w:rPr>
          <w:color w:val="141313" w:themeColor="text1"/>
          <w:sz w:val="18"/>
          <w:lang w:val="en-GB"/>
        </w:rPr>
        <w:t xml:space="preserve"> light duty vehicles.  LNG has proved more viable in heavy duty vehicles, specifically the trucking sector.   In many large consumer nations, regulations are currently being implemented and infrastructure is being set up to meet the expected rise in LNG use in trucking. </w:t>
      </w:r>
    </w:p>
    <w:p w:rsidR="00D42F11" w:rsidRDefault="00D42F11" w:rsidP="00D42F11">
      <w:pPr>
        <w:spacing w:line="252" w:lineRule="auto"/>
        <w:ind w:left="180"/>
        <w:jc w:val="both"/>
        <w:rPr>
          <w:color w:val="141313" w:themeColor="text1"/>
          <w:sz w:val="18"/>
          <w:lang w:val="en-GB"/>
        </w:rPr>
      </w:pPr>
    </w:p>
    <w:p w:rsidR="00D42F11" w:rsidRDefault="00073EEA" w:rsidP="00D42F11">
      <w:pPr>
        <w:spacing w:line="252" w:lineRule="auto"/>
        <w:ind w:left="180"/>
        <w:jc w:val="both"/>
        <w:rPr>
          <w:color w:val="141313" w:themeColor="text1"/>
          <w:sz w:val="18"/>
          <w:lang w:val="en-GB"/>
        </w:rPr>
      </w:pPr>
      <w:r w:rsidRPr="00073EEA">
        <w:rPr>
          <w:noProof/>
          <w:color w:val="141313" w:themeColor="text1"/>
          <w:sz w:val="18"/>
          <w:lang w:eastAsia="en-US"/>
        </w:rPr>
        <w:pict>
          <v:shape id="_x0000_s1109" type="#_x0000_t202" style="position:absolute;left:0;text-align:left;margin-left:-17.85pt;margin-top:111.4pt;width:106.3pt;height:38.8pt;z-index:251693056;mso-wrap-edited:f;mso-wrap-distance-left:14.4pt;mso-wrap-distance-right:14.4pt;mso-width-relative:margin;mso-height-relative:margin" wrapcoords="0 0 21600 0 21600 21600 0 21600 0 0" filled="f" stroked="f" strokecolor="silver">
            <v:fill o:detectmouseclick="t"/>
            <v:textbox style="mso-next-textbox:#_x0000_s1109" inset=".72pt,0,.72pt,0">
              <w:txbxContent>
                <w:p w:rsidR="00856114" w:rsidRPr="00407BDF" w:rsidRDefault="00856114" w:rsidP="00407BDF">
                  <w:pPr>
                    <w:rPr>
                      <w:i/>
                      <w:color w:val="1B82CE" w:themeColor="accent3"/>
                      <w:sz w:val="18"/>
                    </w:rPr>
                  </w:pPr>
                  <w:r>
                    <w:rPr>
                      <w:b/>
                      <w:color w:val="1B82CE" w:themeColor="accent3"/>
                      <w:sz w:val="24"/>
                    </w:rPr>
                    <w:t xml:space="preserve">50,000 </w:t>
                  </w:r>
                  <w:r w:rsidRPr="00407BDF">
                    <w:rPr>
                      <w:color w:val="1B82CE" w:themeColor="accent3"/>
                      <w:sz w:val="24"/>
                    </w:rPr>
                    <w:t>LNG-fueled trucks in China in 2012</w:t>
                  </w:r>
                </w:p>
              </w:txbxContent>
            </v:textbox>
            <w10:wrap type="tight"/>
          </v:shape>
        </w:pict>
      </w:r>
      <w:r w:rsidR="00D42F11">
        <w:rPr>
          <w:color w:val="141313" w:themeColor="text1"/>
          <w:sz w:val="18"/>
          <w:lang w:val="en-GB"/>
        </w:rPr>
        <w:t xml:space="preserve">In </w:t>
      </w:r>
      <w:r w:rsidR="00D42F11" w:rsidRPr="007A79DB">
        <w:rPr>
          <w:b/>
          <w:color w:val="215A99"/>
          <w:sz w:val="18"/>
          <w:lang w:val="en-GB"/>
        </w:rPr>
        <w:t>China</w:t>
      </w:r>
      <w:r w:rsidR="00D42F11">
        <w:rPr>
          <w:color w:val="141313" w:themeColor="text1"/>
          <w:sz w:val="18"/>
          <w:lang w:val="en-GB"/>
        </w:rPr>
        <w:t>, vehicle emissions have been a major driver for improving standards. Currently, the maximum sulphur content is 150 parts per million (</w:t>
      </w:r>
      <w:proofErr w:type="spellStart"/>
      <w:r w:rsidR="00D42F11">
        <w:rPr>
          <w:color w:val="141313" w:themeColor="text1"/>
          <w:sz w:val="18"/>
          <w:lang w:val="en-GB"/>
        </w:rPr>
        <w:t>ppm</w:t>
      </w:r>
      <w:proofErr w:type="spellEnd"/>
      <w:r w:rsidR="00D42F11">
        <w:rPr>
          <w:color w:val="141313" w:themeColor="text1"/>
          <w:sz w:val="18"/>
          <w:lang w:val="en-GB"/>
        </w:rPr>
        <w:t xml:space="preserve">). In February 2013, the Standardization Administration of China mandated that the limit be reduced to 50 </w:t>
      </w:r>
      <w:proofErr w:type="spellStart"/>
      <w:r w:rsidR="00D42F11">
        <w:rPr>
          <w:color w:val="141313" w:themeColor="text1"/>
          <w:sz w:val="18"/>
          <w:lang w:val="en-GB"/>
        </w:rPr>
        <w:t>ppm</w:t>
      </w:r>
      <w:proofErr w:type="spellEnd"/>
      <w:r w:rsidR="00D42F11">
        <w:rPr>
          <w:color w:val="141313" w:themeColor="text1"/>
          <w:sz w:val="18"/>
          <w:lang w:val="en-GB"/>
        </w:rPr>
        <w:t xml:space="preserve"> by 2014 (or the China IV standard), which is in line with European standards.  China V which is planned to take effect by 2017 would see this reduced further to just 10 </w:t>
      </w:r>
      <w:proofErr w:type="spellStart"/>
      <w:r w:rsidR="00D42F11">
        <w:rPr>
          <w:color w:val="141313" w:themeColor="text1"/>
          <w:sz w:val="18"/>
          <w:lang w:val="en-GB"/>
        </w:rPr>
        <w:t>ppm</w:t>
      </w:r>
      <w:proofErr w:type="spellEnd"/>
      <w:r w:rsidR="00D42F11">
        <w:rPr>
          <w:color w:val="141313" w:themeColor="text1"/>
          <w:sz w:val="18"/>
          <w:lang w:val="en-GB"/>
        </w:rPr>
        <w:t>.  As a result of these regulatory measures, gas use is expected to increase dramatically.  Currently, trucks are the major users of LNG in China – there were approximately 50,000 LNG-</w:t>
      </w:r>
      <w:proofErr w:type="spellStart"/>
      <w:r w:rsidR="00D42F11">
        <w:rPr>
          <w:color w:val="141313" w:themeColor="text1"/>
          <w:sz w:val="18"/>
          <w:lang w:val="en-GB"/>
        </w:rPr>
        <w:t>fuel</w:t>
      </w:r>
      <w:r w:rsidR="00407BDF">
        <w:rPr>
          <w:color w:val="141313" w:themeColor="text1"/>
          <w:sz w:val="18"/>
          <w:lang w:val="en-GB"/>
        </w:rPr>
        <w:t>ed</w:t>
      </w:r>
      <w:proofErr w:type="spellEnd"/>
      <w:r w:rsidR="00D42F11">
        <w:rPr>
          <w:color w:val="141313" w:themeColor="text1"/>
          <w:sz w:val="18"/>
          <w:lang w:val="en-GB"/>
        </w:rPr>
        <w:t xml:space="preserve"> trucks in 2012. Given the more restrictive sulphur regulations, there is significant growth potential in the heavy duty vehicles segment. </w:t>
      </w:r>
    </w:p>
    <w:p w:rsidR="00D42F11" w:rsidRDefault="00D42F11" w:rsidP="00D42F11">
      <w:pPr>
        <w:spacing w:line="252" w:lineRule="auto"/>
        <w:ind w:left="180"/>
        <w:jc w:val="both"/>
        <w:rPr>
          <w:color w:val="141313" w:themeColor="text1"/>
          <w:sz w:val="18"/>
          <w:lang w:val="en-GB"/>
        </w:rPr>
      </w:pPr>
    </w:p>
    <w:p w:rsidR="00D42F11" w:rsidRDefault="00073EEA" w:rsidP="00D42F11">
      <w:pPr>
        <w:spacing w:line="252" w:lineRule="auto"/>
        <w:ind w:left="180"/>
        <w:jc w:val="both"/>
        <w:rPr>
          <w:color w:val="141313" w:themeColor="text1"/>
          <w:sz w:val="18"/>
          <w:lang w:val="en-GB"/>
        </w:rPr>
      </w:pPr>
      <w:r w:rsidRPr="00073EEA">
        <w:rPr>
          <w:noProof/>
          <w:color w:val="141313" w:themeColor="text1"/>
          <w:sz w:val="18"/>
          <w:lang w:eastAsia="en-US"/>
        </w:rPr>
        <w:pict>
          <v:shape id="_x0000_s1110" type="#_x0000_t202" style="position:absolute;left:0;text-align:left;margin-left:418.65pt;margin-top:-602.2pt;width:106.3pt;height:45.85pt;z-index:251694080;mso-wrap-edited:f;mso-wrap-distance-left:14.4pt;mso-wrap-distance-right:14.4pt;mso-width-relative:margin;mso-height-relative:margin" wrapcoords="0 0 21600 0 21600 21600 0 21600 0 0" filled="f" stroked="f" strokecolor="silver">
            <v:fill o:detectmouseclick="t"/>
            <v:textbox style="mso-next-textbox:#_x0000_s1110" inset=".72pt,0,.72pt,0">
              <w:txbxContent>
                <w:p w:rsidR="00856114" w:rsidRPr="00407BDF" w:rsidRDefault="00856114" w:rsidP="00407BDF">
                  <w:pPr>
                    <w:rPr>
                      <w:i/>
                      <w:color w:val="1B82CE" w:themeColor="accent3"/>
                      <w:sz w:val="18"/>
                    </w:rPr>
                  </w:pPr>
                  <w:r>
                    <w:rPr>
                      <w:b/>
                      <w:color w:val="1B82CE" w:themeColor="accent3"/>
                      <w:sz w:val="24"/>
                    </w:rPr>
                    <w:t xml:space="preserve">73 </w:t>
                  </w:r>
                  <w:r w:rsidRPr="00407BDF">
                    <w:rPr>
                      <w:color w:val="1B82CE" w:themeColor="accent3"/>
                      <w:sz w:val="24"/>
                    </w:rPr>
                    <w:t>LNG</w:t>
                  </w:r>
                  <w:r>
                    <w:rPr>
                      <w:color w:val="1B82CE" w:themeColor="accent3"/>
                      <w:sz w:val="24"/>
                    </w:rPr>
                    <w:t xml:space="preserve"> re-fueling stations in US as of May 2013</w:t>
                  </w:r>
                </w:p>
              </w:txbxContent>
            </v:textbox>
            <w10:wrap type="tight"/>
          </v:shape>
        </w:pict>
      </w:r>
      <w:r w:rsidR="00D42F11">
        <w:rPr>
          <w:color w:val="141313" w:themeColor="text1"/>
          <w:sz w:val="18"/>
          <w:lang w:val="en-GB"/>
        </w:rPr>
        <w:t xml:space="preserve">The </w:t>
      </w:r>
      <w:r w:rsidR="00D42F11" w:rsidRPr="007A79DB">
        <w:rPr>
          <w:b/>
          <w:color w:val="215A99"/>
          <w:sz w:val="18"/>
          <w:lang w:val="en-GB"/>
        </w:rPr>
        <w:t>U</w:t>
      </w:r>
      <w:r w:rsidR="00D42F11">
        <w:rPr>
          <w:b/>
          <w:color w:val="215A99"/>
          <w:sz w:val="18"/>
          <w:lang w:val="en-GB"/>
        </w:rPr>
        <w:t xml:space="preserve">nited </w:t>
      </w:r>
      <w:r w:rsidR="00D42F11" w:rsidRPr="007A79DB">
        <w:rPr>
          <w:b/>
          <w:color w:val="215A99"/>
          <w:sz w:val="18"/>
          <w:lang w:val="en-GB"/>
        </w:rPr>
        <w:t>S</w:t>
      </w:r>
      <w:r w:rsidR="00D42F11">
        <w:rPr>
          <w:b/>
          <w:color w:val="215A99"/>
          <w:sz w:val="18"/>
          <w:lang w:val="en-GB"/>
        </w:rPr>
        <w:t>tates</w:t>
      </w:r>
      <w:r w:rsidR="00D42F11">
        <w:rPr>
          <w:color w:val="141313" w:themeColor="text1"/>
          <w:sz w:val="18"/>
          <w:lang w:val="en-GB"/>
        </w:rPr>
        <w:t xml:space="preserve"> is one of the leaders in terms of LNG use in trucks.   As of May 2013, there are 73 LNG re-fuelling stations in operation – 32 of which are open for public use.  The major operators include Clean Energy (which includes T. Boone Pickens and Chesapeake Energy as shareholders), </w:t>
      </w:r>
      <w:proofErr w:type="spellStart"/>
      <w:r w:rsidR="00D42F11">
        <w:rPr>
          <w:color w:val="141313" w:themeColor="text1"/>
          <w:sz w:val="18"/>
          <w:lang w:val="en-GB"/>
        </w:rPr>
        <w:t>Blu</w:t>
      </w:r>
      <w:proofErr w:type="spellEnd"/>
      <w:r w:rsidR="00D42F11">
        <w:rPr>
          <w:color w:val="141313" w:themeColor="text1"/>
          <w:sz w:val="18"/>
          <w:lang w:val="en-GB"/>
        </w:rPr>
        <w:t xml:space="preserve"> LNG (a JV between US-based CH4 and China’s ENN Group), and Waste Management (a private environmental solutions provider).  The majority of these stations are located on US West Coast. </w:t>
      </w:r>
    </w:p>
    <w:p w:rsidR="00D42F11" w:rsidRDefault="00D42F11" w:rsidP="00D42F11">
      <w:pPr>
        <w:spacing w:line="252" w:lineRule="auto"/>
        <w:ind w:left="180"/>
        <w:jc w:val="both"/>
        <w:rPr>
          <w:color w:val="141313" w:themeColor="text1"/>
          <w:sz w:val="18"/>
          <w:lang w:val="en-GB"/>
        </w:rPr>
      </w:pPr>
    </w:p>
    <w:tbl>
      <w:tblPr>
        <w:tblpPr w:leftFromText="180" w:rightFromText="180" w:vertAnchor="text" w:horzAnchor="margin" w:tblpXSpec="right" w:tblpY="8"/>
        <w:tblW w:w="4942" w:type="dxa"/>
        <w:tblLayout w:type="fixed"/>
        <w:tblLook w:val="01E0"/>
      </w:tblPr>
      <w:tblGrid>
        <w:gridCol w:w="4942"/>
      </w:tblGrid>
      <w:tr w:rsidR="00D42F11" w:rsidRPr="00A918C1" w:rsidTr="00D42F11">
        <w:trPr>
          <w:trHeight w:val="2717"/>
        </w:trPr>
        <w:tc>
          <w:tcPr>
            <w:tcW w:w="4942" w:type="dxa"/>
          </w:tcPr>
          <w:p w:rsidR="00D42F11" w:rsidRDefault="00D42F11" w:rsidP="00D42F11">
            <w:pPr>
              <w:pStyle w:val="PFCBulletedText2"/>
              <w:spacing w:before="120" w:after="0"/>
              <w:ind w:left="0" w:firstLine="0"/>
              <w:jc w:val="left"/>
              <w:rPr>
                <w:noProof/>
                <w:lang w:eastAsia="en-US"/>
              </w:rPr>
            </w:pPr>
            <w:r>
              <w:rPr>
                <w:noProof/>
                <w:lang w:val="fr-FR" w:eastAsia="zh-CN"/>
              </w:rPr>
              <w:drawing>
                <wp:inline distT="0" distB="0" distL="0" distR="0">
                  <wp:extent cx="3019425" cy="2062480"/>
                  <wp:effectExtent l="19050" t="0" r="9525" b="0"/>
                  <wp:docPr id="1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srcRect/>
                          <a:stretch>
                            <a:fillRect/>
                          </a:stretch>
                        </pic:blipFill>
                        <pic:spPr bwMode="auto">
                          <a:xfrm>
                            <a:off x="0" y="0"/>
                            <a:ext cx="3019425" cy="2062480"/>
                          </a:xfrm>
                          <a:prstGeom prst="rect">
                            <a:avLst/>
                          </a:prstGeom>
                          <a:noFill/>
                          <a:ln w="9525">
                            <a:noFill/>
                            <a:miter lim="800000"/>
                            <a:headEnd/>
                            <a:tailEnd/>
                          </a:ln>
                        </pic:spPr>
                      </pic:pic>
                    </a:graphicData>
                  </a:graphic>
                </wp:inline>
              </w:drawing>
            </w:r>
          </w:p>
          <w:p w:rsidR="00D42F11" w:rsidRDefault="00D42F11" w:rsidP="00D42F11">
            <w:pPr>
              <w:pStyle w:val="PFCBulletedText2"/>
              <w:ind w:left="0" w:firstLine="0"/>
              <w:jc w:val="left"/>
              <w:rPr>
                <w:b/>
                <w:sz w:val="18"/>
                <w:szCs w:val="18"/>
              </w:rPr>
            </w:pPr>
            <w:r>
              <w:rPr>
                <w:b/>
                <w:sz w:val="18"/>
                <w:szCs w:val="18"/>
              </w:rPr>
              <w:t xml:space="preserve">Figure </w:t>
            </w:r>
            <w:r w:rsidR="00E35536">
              <w:rPr>
                <w:b/>
                <w:sz w:val="18"/>
                <w:szCs w:val="18"/>
              </w:rPr>
              <w:t>8</w:t>
            </w:r>
            <w:r>
              <w:rPr>
                <w:b/>
                <w:sz w:val="18"/>
                <w:szCs w:val="18"/>
              </w:rPr>
              <w:t>.4</w:t>
            </w:r>
            <w:r w:rsidRPr="005733C3">
              <w:rPr>
                <w:b/>
                <w:sz w:val="18"/>
                <w:szCs w:val="18"/>
              </w:rPr>
              <w:t>:</w:t>
            </w:r>
            <w:r>
              <w:rPr>
                <w:b/>
                <w:sz w:val="18"/>
                <w:szCs w:val="18"/>
              </w:rPr>
              <w:t xml:space="preserve">   LNG Re-fuelling Stations in the US by Owner, as of May 2013</w:t>
            </w:r>
          </w:p>
          <w:p w:rsidR="00D42F11" w:rsidRDefault="00D42F11" w:rsidP="00D42F11">
            <w:pPr>
              <w:spacing w:line="252" w:lineRule="auto"/>
              <w:jc w:val="both"/>
              <w:rPr>
                <w:i/>
                <w:sz w:val="16"/>
                <w:szCs w:val="16"/>
              </w:rPr>
            </w:pPr>
            <w:r w:rsidRPr="005733C3">
              <w:rPr>
                <w:i/>
                <w:sz w:val="16"/>
                <w:szCs w:val="16"/>
              </w:rPr>
              <w:t xml:space="preserve">Sources: </w:t>
            </w:r>
            <w:r>
              <w:rPr>
                <w:i/>
                <w:sz w:val="16"/>
                <w:szCs w:val="16"/>
              </w:rPr>
              <w:t xml:space="preserve"> US Department of Energy Alternative Fuel  Data Center, PFC Energy</w:t>
            </w:r>
          </w:p>
          <w:p w:rsidR="00D42F11" w:rsidRDefault="00D42F11" w:rsidP="00D42F11">
            <w:pPr>
              <w:spacing w:line="252" w:lineRule="auto"/>
              <w:jc w:val="both"/>
              <w:rPr>
                <w:i/>
                <w:sz w:val="16"/>
                <w:szCs w:val="16"/>
              </w:rPr>
            </w:pPr>
          </w:p>
          <w:tbl>
            <w:tblPr>
              <w:tblpPr w:leftFromText="180" w:rightFromText="180" w:vertAnchor="text" w:horzAnchor="margin" w:tblpY="1682"/>
              <w:tblOverlap w:val="never"/>
              <w:tblW w:w="4942" w:type="dxa"/>
              <w:tblLayout w:type="fixed"/>
              <w:tblLook w:val="01E0"/>
            </w:tblPr>
            <w:tblGrid>
              <w:gridCol w:w="4942"/>
            </w:tblGrid>
            <w:tr w:rsidR="00D42F11" w:rsidRPr="00A918C1" w:rsidTr="00D42F11">
              <w:trPr>
                <w:trHeight w:val="2717"/>
              </w:trPr>
              <w:tc>
                <w:tcPr>
                  <w:tcW w:w="4942" w:type="dxa"/>
                </w:tcPr>
                <w:p w:rsidR="00D42F11" w:rsidRDefault="00D42F11" w:rsidP="00D42F11">
                  <w:pPr>
                    <w:pStyle w:val="PFCBulletedText2"/>
                    <w:spacing w:before="120" w:after="0"/>
                    <w:ind w:left="0" w:firstLine="0"/>
                    <w:jc w:val="left"/>
                    <w:rPr>
                      <w:noProof/>
                      <w:lang w:eastAsia="en-US"/>
                    </w:rPr>
                  </w:pPr>
                  <w:r>
                    <w:rPr>
                      <w:noProof/>
                      <w:lang w:val="fr-FR" w:eastAsia="zh-CN"/>
                    </w:rPr>
                    <w:drawing>
                      <wp:inline distT="0" distB="0" distL="0" distR="0">
                        <wp:extent cx="3000375" cy="2057400"/>
                        <wp:effectExtent l="19050" t="0" r="9525" b="0"/>
                        <wp:docPr id="1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srcRect/>
                                <a:stretch>
                                  <a:fillRect/>
                                </a:stretch>
                              </pic:blipFill>
                              <pic:spPr bwMode="auto">
                                <a:xfrm>
                                  <a:off x="0" y="0"/>
                                  <a:ext cx="3000375" cy="2057400"/>
                                </a:xfrm>
                                <a:prstGeom prst="rect">
                                  <a:avLst/>
                                </a:prstGeom>
                                <a:noFill/>
                                <a:ln w="9525">
                                  <a:noFill/>
                                  <a:miter lim="800000"/>
                                  <a:headEnd/>
                                  <a:tailEnd/>
                                </a:ln>
                              </pic:spPr>
                            </pic:pic>
                          </a:graphicData>
                        </a:graphic>
                      </wp:inline>
                    </w:drawing>
                  </w:r>
                </w:p>
                <w:p w:rsidR="00D42F11" w:rsidRDefault="004C2905" w:rsidP="00D42F11">
                  <w:pPr>
                    <w:spacing w:line="252" w:lineRule="auto"/>
                    <w:jc w:val="both"/>
                    <w:rPr>
                      <w:i/>
                      <w:sz w:val="16"/>
                      <w:szCs w:val="16"/>
                    </w:rPr>
                  </w:pPr>
                  <w:r>
                    <w:rPr>
                      <w:b/>
                      <w:sz w:val="18"/>
                      <w:szCs w:val="18"/>
                    </w:rPr>
                    <w:t>Figure 9</w:t>
                  </w:r>
                  <w:r w:rsidR="00D42F11">
                    <w:rPr>
                      <w:b/>
                      <w:sz w:val="18"/>
                      <w:szCs w:val="18"/>
                    </w:rPr>
                    <w:t>.5</w:t>
                  </w:r>
                  <w:r w:rsidR="00D42F11" w:rsidRPr="005733C3">
                    <w:rPr>
                      <w:b/>
                      <w:sz w:val="18"/>
                      <w:szCs w:val="18"/>
                    </w:rPr>
                    <w:t>:</w:t>
                  </w:r>
                  <w:r w:rsidR="00D42F11">
                    <w:rPr>
                      <w:b/>
                      <w:sz w:val="18"/>
                      <w:szCs w:val="18"/>
                    </w:rPr>
                    <w:t xml:space="preserve">    Gas Use in the US Transportation Sector</w:t>
                  </w:r>
                  <w:r w:rsidR="00D42F11" w:rsidRPr="005733C3">
                    <w:rPr>
                      <w:i/>
                      <w:sz w:val="16"/>
                      <w:szCs w:val="16"/>
                    </w:rPr>
                    <w:t xml:space="preserve"> Sources: </w:t>
                  </w:r>
                  <w:r w:rsidR="00D42F11">
                    <w:rPr>
                      <w:i/>
                      <w:sz w:val="16"/>
                      <w:szCs w:val="16"/>
                    </w:rPr>
                    <w:t xml:space="preserve">  US Department of Energy Annual Energy Outlook, PFC Energy</w:t>
                  </w:r>
                </w:p>
                <w:p w:rsidR="00D42F11" w:rsidRPr="00D42F11" w:rsidRDefault="00D42F11" w:rsidP="00D42F11">
                  <w:pPr>
                    <w:spacing w:line="252" w:lineRule="auto"/>
                    <w:jc w:val="both"/>
                    <w:rPr>
                      <w:i/>
                      <w:sz w:val="16"/>
                      <w:szCs w:val="16"/>
                    </w:rPr>
                  </w:pPr>
                </w:p>
              </w:tc>
            </w:tr>
          </w:tbl>
          <w:p w:rsidR="00D42F11" w:rsidRPr="00747B92" w:rsidRDefault="00D42F11" w:rsidP="00CB1301">
            <w:pPr>
              <w:spacing w:line="252" w:lineRule="auto"/>
              <w:ind w:left="180"/>
              <w:jc w:val="both"/>
              <w:rPr>
                <w:color w:val="141313" w:themeColor="text1"/>
                <w:sz w:val="18"/>
                <w:lang w:val="en-GB"/>
              </w:rPr>
            </w:pPr>
            <w:r>
              <w:rPr>
                <w:color w:val="141313" w:themeColor="text1"/>
                <w:sz w:val="18"/>
                <w:lang w:val="en-GB"/>
              </w:rPr>
              <w:t>The US Energy Information Administration (EIA) forecasts a substantial increase in gas use in the transportation sector beginning post 2025.</w:t>
            </w:r>
            <w:r w:rsidR="00CB1301">
              <w:rPr>
                <w:color w:val="141313" w:themeColor="text1"/>
                <w:sz w:val="18"/>
                <w:lang w:val="en-GB"/>
              </w:rPr>
              <w:t xml:space="preserve"> T</w:t>
            </w:r>
            <w:r>
              <w:rPr>
                <w:color w:val="141313" w:themeColor="text1"/>
                <w:sz w:val="18"/>
                <w:lang w:val="en-GB"/>
              </w:rPr>
              <w:t>he overwhelming majority of the growth is expected to come from heavy duty vehicles – which can run on both CNG and LNG.  In recent years, there has been more commercial momentum supporting LNG for trucking.</w:t>
            </w:r>
          </w:p>
        </w:tc>
      </w:tr>
    </w:tbl>
    <w:p w:rsidR="00D42F11" w:rsidRPr="00420A95" w:rsidRDefault="00D42F11" w:rsidP="00D42F11">
      <w:pPr>
        <w:spacing w:line="252" w:lineRule="auto"/>
        <w:ind w:left="180"/>
        <w:jc w:val="both"/>
        <w:rPr>
          <w:sz w:val="18"/>
          <w:szCs w:val="18"/>
        </w:rPr>
      </w:pPr>
      <w:r w:rsidRPr="00420A95">
        <w:rPr>
          <w:color w:val="141313" w:themeColor="text1"/>
          <w:sz w:val="18"/>
          <w:szCs w:val="18"/>
          <w:lang w:val="en-GB"/>
        </w:rPr>
        <w:lastRenderedPageBreak/>
        <w:t xml:space="preserve">As of early 2012, </w:t>
      </w:r>
      <w:r w:rsidRPr="007A79DB">
        <w:rPr>
          <w:b/>
          <w:color w:val="215A99"/>
          <w:sz w:val="18"/>
          <w:lang w:val="en-GB"/>
        </w:rPr>
        <w:t>European countries</w:t>
      </w:r>
      <w:r w:rsidRPr="00420A95">
        <w:rPr>
          <w:color w:val="141313" w:themeColor="text1"/>
          <w:sz w:val="18"/>
          <w:szCs w:val="18"/>
          <w:lang w:val="en-GB"/>
        </w:rPr>
        <w:t xml:space="preserve"> that had LNG re-fuelling </w:t>
      </w:r>
      <w:proofErr w:type="gramStart"/>
      <w:r w:rsidRPr="00420A95">
        <w:rPr>
          <w:color w:val="141313" w:themeColor="text1"/>
          <w:sz w:val="18"/>
          <w:szCs w:val="18"/>
          <w:lang w:val="en-GB"/>
        </w:rPr>
        <w:t>stations</w:t>
      </w:r>
      <w:proofErr w:type="gramEnd"/>
      <w:r w:rsidRPr="00420A95">
        <w:rPr>
          <w:color w:val="141313" w:themeColor="text1"/>
          <w:sz w:val="18"/>
          <w:szCs w:val="18"/>
          <w:lang w:val="en-GB"/>
        </w:rPr>
        <w:t xml:space="preserve"> included </w:t>
      </w:r>
      <w:r w:rsidRPr="00420A95">
        <w:rPr>
          <w:sz w:val="18"/>
          <w:szCs w:val="18"/>
        </w:rPr>
        <w:t>Portugal, Spain, Italy, Sweden and the Netherlands. These stations are currently geared towards isolated markets.  However, the Natural Gas Vehicle Association of Europe and the European Union are jointly sponsoring the LNG Blue Corridors Projects which seeks to set up considerable infrastructure across four major European trucking routes. This includes:</w:t>
      </w:r>
    </w:p>
    <w:p w:rsidR="00D42F11" w:rsidRPr="00420A95" w:rsidRDefault="00D42F11" w:rsidP="00D42F11">
      <w:pPr>
        <w:pStyle w:val="Paragraphedeliste"/>
        <w:numPr>
          <w:ilvl w:val="0"/>
          <w:numId w:val="48"/>
        </w:numPr>
        <w:spacing w:line="252" w:lineRule="auto"/>
        <w:jc w:val="both"/>
        <w:rPr>
          <w:sz w:val="18"/>
          <w:szCs w:val="18"/>
        </w:rPr>
      </w:pPr>
      <w:r w:rsidRPr="00420A95">
        <w:rPr>
          <w:sz w:val="18"/>
          <w:szCs w:val="18"/>
        </w:rPr>
        <w:t>Portugal-Spain-France-Netherlands-UK-Ireland</w:t>
      </w:r>
      <w:r>
        <w:rPr>
          <w:sz w:val="18"/>
          <w:szCs w:val="18"/>
        </w:rPr>
        <w:t>;</w:t>
      </w:r>
    </w:p>
    <w:p w:rsidR="00D42F11" w:rsidRPr="00420A95" w:rsidRDefault="00D42F11" w:rsidP="00D42F11">
      <w:pPr>
        <w:pStyle w:val="Paragraphedeliste"/>
        <w:numPr>
          <w:ilvl w:val="0"/>
          <w:numId w:val="48"/>
        </w:numPr>
        <w:spacing w:line="252" w:lineRule="auto"/>
        <w:jc w:val="both"/>
        <w:rPr>
          <w:sz w:val="18"/>
          <w:szCs w:val="18"/>
        </w:rPr>
      </w:pPr>
      <w:r w:rsidRPr="00420A95">
        <w:rPr>
          <w:sz w:val="18"/>
          <w:szCs w:val="18"/>
        </w:rPr>
        <w:t>Portugal-Spain-France-Germany-Denmark-Sweden</w:t>
      </w:r>
      <w:r>
        <w:rPr>
          <w:sz w:val="18"/>
          <w:szCs w:val="18"/>
        </w:rPr>
        <w:t>;</w:t>
      </w:r>
    </w:p>
    <w:p w:rsidR="00D42F11" w:rsidRPr="00420A95" w:rsidRDefault="00D42F11" w:rsidP="00D42F11">
      <w:pPr>
        <w:pStyle w:val="Paragraphedeliste"/>
        <w:numPr>
          <w:ilvl w:val="0"/>
          <w:numId w:val="48"/>
        </w:numPr>
        <w:spacing w:line="252" w:lineRule="auto"/>
        <w:jc w:val="both"/>
        <w:rPr>
          <w:sz w:val="18"/>
          <w:szCs w:val="18"/>
        </w:rPr>
      </w:pPr>
      <w:r w:rsidRPr="00420A95">
        <w:rPr>
          <w:sz w:val="18"/>
          <w:szCs w:val="18"/>
        </w:rPr>
        <w:t>Mediterranean Arch-Italy-Croatia</w:t>
      </w:r>
      <w:r>
        <w:rPr>
          <w:sz w:val="18"/>
          <w:szCs w:val="18"/>
        </w:rPr>
        <w:t>; and</w:t>
      </w:r>
    </w:p>
    <w:p w:rsidR="00D42F11" w:rsidRDefault="00D42F11" w:rsidP="00D42F11">
      <w:pPr>
        <w:pStyle w:val="Paragraphedeliste"/>
        <w:numPr>
          <w:ilvl w:val="0"/>
          <w:numId w:val="48"/>
        </w:numPr>
        <w:spacing w:line="252" w:lineRule="auto"/>
        <w:jc w:val="both"/>
        <w:rPr>
          <w:sz w:val="18"/>
          <w:szCs w:val="18"/>
        </w:rPr>
      </w:pPr>
      <w:r w:rsidRPr="00420A95">
        <w:rPr>
          <w:sz w:val="18"/>
          <w:szCs w:val="18"/>
        </w:rPr>
        <w:t>Ireland-UK-Belgium-Germany-Austria</w:t>
      </w:r>
      <w:r>
        <w:rPr>
          <w:sz w:val="18"/>
          <w:szCs w:val="18"/>
        </w:rPr>
        <w:t>.</w:t>
      </w:r>
      <w:r w:rsidRPr="00420A95">
        <w:rPr>
          <w:sz w:val="18"/>
          <w:szCs w:val="18"/>
        </w:rPr>
        <w:t xml:space="preserve">  </w:t>
      </w:r>
    </w:p>
    <w:p w:rsidR="00DF69D1" w:rsidRDefault="00DF69D1" w:rsidP="00DF69D1">
      <w:pPr>
        <w:spacing w:line="252" w:lineRule="auto"/>
        <w:jc w:val="both"/>
        <w:rPr>
          <w:sz w:val="18"/>
          <w:szCs w:val="18"/>
        </w:rPr>
      </w:pPr>
    </w:p>
    <w:p w:rsidR="00DF69D1" w:rsidRPr="00DF69D1" w:rsidRDefault="00DF69D1" w:rsidP="00DF69D1">
      <w:pPr>
        <w:spacing w:line="252" w:lineRule="auto"/>
        <w:jc w:val="both"/>
        <w:rPr>
          <w:sz w:val="18"/>
          <w:szCs w:val="18"/>
        </w:rPr>
      </w:pPr>
    </w:p>
    <w:p w:rsidR="00CD6502" w:rsidRDefault="00CD6502" w:rsidP="00CD6502">
      <w:pPr>
        <w:pStyle w:val="Paragraphedeliste"/>
        <w:spacing w:line="252" w:lineRule="auto"/>
        <w:ind w:left="900"/>
        <w:jc w:val="both"/>
        <w:rPr>
          <w:sz w:val="18"/>
          <w:szCs w:val="18"/>
        </w:rPr>
      </w:pPr>
    </w:p>
    <w:p w:rsidR="0020752F" w:rsidRDefault="0020752F" w:rsidP="0020752F">
      <w:pPr>
        <w:pStyle w:val="Paragraphedeliste"/>
        <w:spacing w:line="252" w:lineRule="auto"/>
        <w:ind w:left="900"/>
        <w:jc w:val="both"/>
        <w:rPr>
          <w:sz w:val="18"/>
          <w:szCs w:val="18"/>
        </w:rPr>
      </w:pPr>
    </w:p>
    <w:p w:rsidR="00D42F11" w:rsidRDefault="00D42F11" w:rsidP="00D42F11">
      <w:pPr>
        <w:spacing w:line="252" w:lineRule="auto"/>
        <w:jc w:val="both"/>
        <w:rPr>
          <w:sz w:val="18"/>
          <w:szCs w:val="18"/>
        </w:rPr>
      </w:pPr>
    </w:p>
    <w:p w:rsidR="00D42F11" w:rsidRDefault="00D42F11" w:rsidP="00D42F11">
      <w:pPr>
        <w:spacing w:line="252" w:lineRule="auto"/>
        <w:jc w:val="both"/>
        <w:rPr>
          <w:sz w:val="18"/>
          <w:szCs w:val="18"/>
        </w:rPr>
      </w:pPr>
    </w:p>
    <w:p w:rsidR="00D42F11" w:rsidRDefault="00D42F11" w:rsidP="00D42F11">
      <w:pPr>
        <w:spacing w:line="252" w:lineRule="auto"/>
        <w:jc w:val="both"/>
        <w:rPr>
          <w:sz w:val="18"/>
          <w:szCs w:val="18"/>
        </w:rPr>
      </w:pPr>
    </w:p>
    <w:p w:rsidR="00D42F11" w:rsidRDefault="00D42F11" w:rsidP="00D42F11">
      <w:pPr>
        <w:spacing w:line="252" w:lineRule="auto"/>
        <w:jc w:val="both"/>
        <w:rPr>
          <w:sz w:val="18"/>
          <w:szCs w:val="18"/>
        </w:rPr>
      </w:pPr>
    </w:p>
    <w:p w:rsidR="00D42F11" w:rsidRDefault="00D42F11" w:rsidP="00D42F11">
      <w:pPr>
        <w:spacing w:line="252" w:lineRule="auto"/>
        <w:jc w:val="both"/>
        <w:rPr>
          <w:sz w:val="18"/>
          <w:szCs w:val="18"/>
        </w:rPr>
      </w:pPr>
    </w:p>
    <w:p w:rsidR="00D42F11" w:rsidRDefault="00D42F11" w:rsidP="00D42F11">
      <w:pPr>
        <w:spacing w:line="252" w:lineRule="auto"/>
        <w:jc w:val="both"/>
        <w:rPr>
          <w:sz w:val="18"/>
          <w:szCs w:val="18"/>
        </w:rPr>
      </w:pPr>
    </w:p>
    <w:p w:rsidR="00D42F11" w:rsidRPr="00D42F11" w:rsidRDefault="00D42F11" w:rsidP="00D42F11">
      <w:pPr>
        <w:spacing w:line="252" w:lineRule="auto"/>
        <w:jc w:val="both"/>
        <w:rPr>
          <w:sz w:val="18"/>
          <w:szCs w:val="18"/>
        </w:rPr>
      </w:pPr>
    </w:p>
    <w:p w:rsidR="00EF5C85" w:rsidRDefault="00EF5C85" w:rsidP="00733532">
      <w:pPr>
        <w:spacing w:line="252" w:lineRule="auto"/>
        <w:ind w:left="180"/>
        <w:jc w:val="both"/>
        <w:rPr>
          <w:sz w:val="18"/>
          <w:lang w:val="en-GB"/>
        </w:rPr>
      </w:pPr>
    </w:p>
    <w:p w:rsidR="00D42F11" w:rsidRDefault="00D42F11">
      <w:pPr>
        <w:widowControl/>
        <w:rPr>
          <w:sz w:val="18"/>
          <w:lang w:val="en-GB"/>
        </w:rPr>
        <w:sectPr w:rsidR="00D42F11" w:rsidSect="00D42F11">
          <w:type w:val="continuous"/>
          <w:pgSz w:w="12240" w:h="15840" w:code="1"/>
          <w:pgMar w:top="1728" w:right="1080" w:bottom="1080" w:left="1008" w:header="720" w:footer="504" w:gutter="0"/>
          <w:cols w:num="2" w:space="432" w:equalWidth="0">
            <w:col w:w="4860" w:space="432"/>
            <w:col w:w="4860"/>
          </w:cols>
          <w:docGrid w:linePitch="272"/>
        </w:sectPr>
      </w:pPr>
    </w:p>
    <w:p w:rsidR="003F3C01" w:rsidRDefault="00073EEA">
      <w:pPr>
        <w:widowControl/>
        <w:rPr>
          <w:sz w:val="18"/>
          <w:lang w:val="en-GB"/>
        </w:rPr>
      </w:pPr>
      <w:r w:rsidRPr="00073EEA">
        <w:rPr>
          <w:noProof/>
          <w:sz w:val="18"/>
          <w:lang w:eastAsia="en-US"/>
        </w:rPr>
        <w:lastRenderedPageBreak/>
        <w:pict>
          <v:shape id="_x0000_s1114" type="#_x0000_t202" style="position:absolute;margin-left:-2.9pt;margin-top:480.05pt;width:192.35pt;height:14.9pt;z-index:251697152;mso-width-relative:margin;mso-height-relative:margin" filled="f" stroked="f" strokecolor="silver">
            <v:textbox style="mso-next-textbox:#_x0000_s1114">
              <w:txbxContent>
                <w:p w:rsidR="00856114" w:rsidRPr="00CD6502" w:rsidRDefault="00856114" w:rsidP="00CD6502">
                  <w:pPr>
                    <w:rPr>
                      <w:sz w:val="12"/>
                      <w:szCs w:val="12"/>
                    </w:rPr>
                  </w:pPr>
                  <w:r w:rsidRPr="00CD6502">
                    <w:rPr>
                      <w:sz w:val="12"/>
                      <w:szCs w:val="12"/>
                    </w:rPr>
                    <w:t xml:space="preserve">© </w:t>
                  </w:r>
                  <w:proofErr w:type="spellStart"/>
                  <w:proofErr w:type="gramStart"/>
                  <w:r w:rsidRPr="00CD6502">
                    <w:rPr>
                      <w:sz w:val="12"/>
                      <w:szCs w:val="12"/>
                    </w:rPr>
                    <w:t>goldenergy</w:t>
                  </w:r>
                  <w:proofErr w:type="spellEnd"/>
                  <w:proofErr w:type="gramEnd"/>
                </w:p>
                <w:p w:rsidR="00856114" w:rsidRPr="00CD6502" w:rsidRDefault="00856114" w:rsidP="00CD6502">
                  <w:pPr>
                    <w:rPr>
                      <w:sz w:val="12"/>
                      <w:szCs w:val="12"/>
                    </w:rPr>
                  </w:pPr>
                </w:p>
              </w:txbxContent>
            </v:textbox>
          </v:shape>
        </w:pict>
      </w:r>
      <w:r w:rsidRPr="00073EEA">
        <w:rPr>
          <w:noProof/>
          <w:sz w:val="18"/>
          <w:lang w:eastAsia="en-US"/>
        </w:rPr>
        <w:pict>
          <v:shape id="_x0000_s1115" type="#_x0000_t202" style="position:absolute;margin-left:-2.9pt;margin-top:497.35pt;width:236.75pt;height:18.25pt;z-index:251698176;mso-width-relative:margin;mso-height-relative:margin" stroked="f" strokecolor="silver">
            <v:textbox>
              <w:txbxContent>
                <w:p w:rsidR="00856114" w:rsidRPr="00CD6502" w:rsidRDefault="00856114" w:rsidP="00CD6502">
                  <w:pPr>
                    <w:rPr>
                      <w:sz w:val="12"/>
                      <w:szCs w:val="12"/>
                    </w:rPr>
                  </w:pPr>
                  <w:r w:rsidRPr="00CD6502">
                    <w:rPr>
                      <w:sz w:val="12"/>
                      <w:szCs w:val="12"/>
                    </w:rPr>
                    <w:t xml:space="preserve">LNG/GNV dual station opened in 2012, </w:t>
                  </w:r>
                  <w:proofErr w:type="spellStart"/>
                  <w:r w:rsidRPr="00CD6502">
                    <w:rPr>
                      <w:sz w:val="12"/>
                      <w:szCs w:val="12"/>
                    </w:rPr>
                    <w:t>Mirandela</w:t>
                  </w:r>
                  <w:proofErr w:type="spellEnd"/>
                  <w:r w:rsidRPr="00CD6502">
                    <w:rPr>
                      <w:sz w:val="12"/>
                      <w:szCs w:val="12"/>
                    </w:rPr>
                    <w:t>, Portugal</w:t>
                  </w:r>
                </w:p>
                <w:p w:rsidR="00856114" w:rsidRDefault="00856114"/>
              </w:txbxContent>
            </v:textbox>
          </v:shape>
        </w:pict>
      </w:r>
      <w:r w:rsidR="00CD6502">
        <w:rPr>
          <w:noProof/>
          <w:sz w:val="18"/>
          <w:lang w:val="fr-FR" w:eastAsia="zh-CN"/>
        </w:rPr>
        <w:drawing>
          <wp:anchor distT="0" distB="0" distL="114300" distR="114300" simplePos="0" relativeHeight="251696128" behindDoc="0" locked="0" layoutInCell="1" allowOverlap="1">
            <wp:simplePos x="0" y="0"/>
            <wp:positionH relativeFrom="column">
              <wp:posOffset>-76200</wp:posOffset>
            </wp:positionH>
            <wp:positionV relativeFrom="paragraph">
              <wp:posOffset>2441575</wp:posOffset>
            </wp:positionV>
            <wp:extent cx="6444615" cy="3877945"/>
            <wp:effectExtent l="19050" t="0" r="0" b="0"/>
            <wp:wrapSquare wrapText="bothSides"/>
            <wp:docPr id="5" name="Picture 9" descr="C:\Users\gsudhakar\AppData\Local\Microsoft\Windows\Temporary Internet Files\Content.Word\Urjais Posto de Gás Natural Veicular  A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sudhakar\AppData\Local\Microsoft\Windows\Temporary Internet Files\Content.Word\Urjais Posto de Gás Natural Veicular  A 21.jpg"/>
                    <pic:cNvPicPr>
                      <a:picLocks noChangeAspect="1" noChangeArrowheads="1"/>
                    </pic:cNvPicPr>
                  </pic:nvPicPr>
                  <pic:blipFill>
                    <a:blip r:embed="rId84" cstate="print"/>
                    <a:srcRect/>
                    <a:stretch>
                      <a:fillRect/>
                    </a:stretch>
                  </pic:blipFill>
                  <pic:spPr bwMode="auto">
                    <a:xfrm>
                      <a:off x="0" y="0"/>
                      <a:ext cx="6444615" cy="3877945"/>
                    </a:xfrm>
                    <a:prstGeom prst="rect">
                      <a:avLst/>
                    </a:prstGeom>
                    <a:noFill/>
                    <a:ln w="9525">
                      <a:noFill/>
                      <a:miter lim="800000"/>
                      <a:headEnd/>
                      <a:tailEnd/>
                    </a:ln>
                  </pic:spPr>
                </pic:pic>
              </a:graphicData>
            </a:graphic>
          </wp:anchor>
        </w:drawing>
      </w:r>
      <w:r w:rsidR="003F3C01">
        <w:rPr>
          <w:sz w:val="18"/>
          <w:lang w:val="en-GB"/>
        </w:rPr>
        <w:br w:type="page"/>
      </w:r>
    </w:p>
    <w:p w:rsidR="003F3C01" w:rsidRDefault="003F3C01" w:rsidP="00733532">
      <w:pPr>
        <w:spacing w:line="252" w:lineRule="auto"/>
        <w:ind w:left="180"/>
        <w:jc w:val="both"/>
        <w:rPr>
          <w:sz w:val="18"/>
          <w:lang w:val="en-GB"/>
        </w:rPr>
        <w:sectPr w:rsidR="003F3C01" w:rsidSect="00E757B1">
          <w:type w:val="continuous"/>
          <w:pgSz w:w="12240" w:h="15840" w:code="1"/>
          <w:pgMar w:top="1728" w:right="1080" w:bottom="1080" w:left="1008" w:header="720" w:footer="504" w:gutter="0"/>
          <w:cols w:num="2" w:space="432"/>
          <w:docGrid w:linePitch="272"/>
        </w:sectPr>
      </w:pPr>
    </w:p>
    <w:p w:rsidR="000C270F" w:rsidRPr="00627EEA" w:rsidRDefault="000C270F" w:rsidP="000C270F">
      <w:pPr>
        <w:pStyle w:val="Titre1"/>
      </w:pPr>
      <w:bookmarkStart w:id="49" w:name="_Toc360628270"/>
      <w:r>
        <w:lastRenderedPageBreak/>
        <w:t>9</w:t>
      </w:r>
      <w:r w:rsidRPr="00627EEA">
        <w:t>.  The LNG Industry in Years Ahead</w:t>
      </w:r>
      <w:bookmarkEnd w:id="49"/>
    </w:p>
    <w:p w:rsidR="000C270F" w:rsidRDefault="000C270F" w:rsidP="000C270F">
      <w:pPr>
        <w:spacing w:line="252" w:lineRule="auto"/>
        <w:ind w:left="180"/>
        <w:jc w:val="both"/>
        <w:rPr>
          <w:b/>
          <w:color w:val="215A99"/>
          <w:sz w:val="18"/>
          <w:lang w:val="en-GB"/>
        </w:rPr>
        <w:sectPr w:rsidR="000C270F" w:rsidSect="00733532">
          <w:headerReference w:type="default" r:id="rId85"/>
          <w:headerReference w:type="first" r:id="rId86"/>
          <w:type w:val="continuous"/>
          <w:pgSz w:w="12240" w:h="15840" w:code="1"/>
          <w:pgMar w:top="1728" w:right="1080" w:bottom="1080" w:left="1008" w:header="720" w:footer="504" w:gutter="0"/>
          <w:cols w:space="720"/>
          <w:docGrid w:linePitch="272"/>
        </w:sectPr>
      </w:pPr>
    </w:p>
    <w:p w:rsidR="000C270F" w:rsidRDefault="000C270F" w:rsidP="000C270F">
      <w:pPr>
        <w:spacing w:line="252" w:lineRule="auto"/>
        <w:jc w:val="both"/>
        <w:rPr>
          <w:sz w:val="18"/>
          <w:lang w:val="en-GB"/>
        </w:rPr>
      </w:pPr>
      <w:r w:rsidRPr="007836D7">
        <w:rPr>
          <w:b/>
          <w:color w:val="215A99"/>
          <w:sz w:val="18"/>
          <w:lang w:val="en-GB"/>
        </w:rPr>
        <w:lastRenderedPageBreak/>
        <w:t xml:space="preserve">Will LNG supply grow in 2013? </w:t>
      </w:r>
      <w:r w:rsidRPr="007836D7">
        <w:rPr>
          <w:sz w:val="18"/>
          <w:lang w:val="en-GB"/>
        </w:rPr>
        <w:t xml:space="preserve">For the first time in three decades, LNG supply fell in 2012. In part, this was due to only one new project coming online (Pluto); in part it was due to one-off accidents (a summer fire at MLNG); but in part it reflected structural weakness in either natural gas supply to the plants (Algeria, Egypt, Indonesia) or security (Yemen and Nigeria) as well as non expected maintenance at Norway LNG plant. As demand continues to hold strong, </w:t>
      </w:r>
      <w:r>
        <w:rPr>
          <w:sz w:val="18"/>
          <w:lang w:val="en-GB"/>
        </w:rPr>
        <w:t>particularly in Asia, the ability of certain producers to grow exports will determine just how tight the market will remain, especially since the only net supply growth in 2013 is expected to come from Angola LNG and probably new trains in Algeria. These various “upstream” uncertainties are difficult to predict and the industry may witness increasing spot and short-term transactions to compensate for the lack of visibility.</w:t>
      </w:r>
    </w:p>
    <w:p w:rsidR="000C270F" w:rsidRPr="007836D7" w:rsidRDefault="000C270F" w:rsidP="000C270F">
      <w:pPr>
        <w:spacing w:line="252" w:lineRule="auto"/>
        <w:jc w:val="both"/>
        <w:rPr>
          <w:sz w:val="18"/>
          <w:lang w:val="en-GB"/>
        </w:rPr>
      </w:pPr>
    </w:p>
    <w:p w:rsidR="000C270F" w:rsidRDefault="000C270F" w:rsidP="000C270F">
      <w:pPr>
        <w:spacing w:line="252" w:lineRule="auto"/>
        <w:jc w:val="both"/>
        <w:rPr>
          <w:sz w:val="18"/>
          <w:lang w:val="en-GB"/>
        </w:rPr>
      </w:pPr>
      <w:r w:rsidRPr="007836D7">
        <w:rPr>
          <w:b/>
          <w:color w:val="215A99"/>
          <w:sz w:val="18"/>
          <w:lang w:val="en-GB"/>
        </w:rPr>
        <w:t xml:space="preserve">Will LNG demand from emerging markets continue to grow? </w:t>
      </w:r>
      <w:r w:rsidRPr="007836D7">
        <w:rPr>
          <w:sz w:val="18"/>
          <w:lang w:val="en-GB"/>
        </w:rPr>
        <w:t xml:space="preserve">Combined, the imports of Argentina, Chile, Brazil, Kuwait, the UAE, Thailand and Indonesia (from domestic sources) </w:t>
      </w:r>
      <w:r>
        <w:rPr>
          <w:sz w:val="18"/>
          <w:lang w:val="en-GB"/>
        </w:rPr>
        <w:t xml:space="preserve">totalled 14.5 MTPA, approximately the amount imported by China in 2012. At the same time, Israel, Malaysia and Singapore began importing in 2013, while other emerging markets (Brazil and Chile) will see expanded regasification capacity. Whether the growth continues in 2013 will depend on a variety of factors, most importantly country-specific energy balances (not just LNG vs. pipeline gas, but gas vs. coal vs. renewables, etc.).  New markets are also competing against existing importers (mainly in Asia) that are increasingly turning to flexible LNG. New markets will need to assess the risks of launching terminals without firm commitments for long-term supply.  Though this </w:t>
      </w:r>
      <w:r w:rsidR="001B55B3">
        <w:rPr>
          <w:sz w:val="18"/>
          <w:lang w:val="en-GB"/>
        </w:rPr>
        <w:t xml:space="preserve">is a </w:t>
      </w:r>
      <w:r>
        <w:rPr>
          <w:sz w:val="18"/>
          <w:lang w:val="en-GB"/>
        </w:rPr>
        <w:t xml:space="preserve">non-traditional strategy, developing such projects may meet </w:t>
      </w:r>
      <w:r w:rsidR="001B55B3">
        <w:rPr>
          <w:sz w:val="18"/>
          <w:lang w:val="en-GB"/>
        </w:rPr>
        <w:t>these countries’</w:t>
      </w:r>
      <w:r>
        <w:rPr>
          <w:sz w:val="18"/>
          <w:lang w:val="en-GB"/>
        </w:rPr>
        <w:t xml:space="preserve"> short-term or seasonal energy requirements. </w:t>
      </w:r>
    </w:p>
    <w:p w:rsidR="000C270F" w:rsidRPr="007836D7" w:rsidRDefault="000C270F" w:rsidP="000C270F">
      <w:pPr>
        <w:spacing w:line="252" w:lineRule="auto"/>
        <w:jc w:val="both"/>
        <w:rPr>
          <w:sz w:val="18"/>
          <w:lang w:val="en-GB"/>
        </w:rPr>
      </w:pPr>
    </w:p>
    <w:p w:rsidR="000C270F" w:rsidRDefault="000C270F" w:rsidP="000C270F">
      <w:pPr>
        <w:spacing w:line="252" w:lineRule="auto"/>
        <w:jc w:val="both"/>
        <w:rPr>
          <w:sz w:val="18"/>
          <w:lang w:val="en-GB"/>
        </w:rPr>
      </w:pPr>
      <w:r w:rsidRPr="007836D7">
        <w:rPr>
          <w:b/>
          <w:color w:val="215A99"/>
          <w:sz w:val="18"/>
          <w:lang w:val="en-GB"/>
        </w:rPr>
        <w:t>Will Asian buyers get new contract terms?</w:t>
      </w:r>
      <w:r w:rsidRPr="007836D7">
        <w:rPr>
          <w:sz w:val="18"/>
          <w:lang w:val="en-GB"/>
        </w:rPr>
        <w:t xml:space="preserve"> In 2012, Asian buyers started to talk openly and repeatedly about shifting from the traditional, fixed-destination, long-term, oil-linked LNG contract. BP and Kansai Electric signed one deal linked to Henry Hub, while Japanese utilities intensified their interest in US LNG (and the Henry-Hub based pricing this entails). But the cracks in the oil-linked system in Asia are few so far. To accelerate a breakthrough, Asian buyers would need to find more traditional sellers willing to sell them LNG at non oil-indexed pricing. </w:t>
      </w:r>
    </w:p>
    <w:p w:rsidR="000C270F" w:rsidRPr="007836D7" w:rsidRDefault="000C270F" w:rsidP="000C270F">
      <w:pPr>
        <w:spacing w:line="252" w:lineRule="auto"/>
        <w:jc w:val="both"/>
        <w:rPr>
          <w:sz w:val="18"/>
          <w:lang w:val="en-GB"/>
        </w:rPr>
      </w:pPr>
    </w:p>
    <w:p w:rsidR="000C270F" w:rsidRDefault="000C270F" w:rsidP="000C270F">
      <w:pPr>
        <w:spacing w:line="252" w:lineRule="auto"/>
        <w:jc w:val="both"/>
        <w:rPr>
          <w:sz w:val="18"/>
          <w:lang w:val="en-GB"/>
        </w:rPr>
      </w:pPr>
      <w:r w:rsidRPr="007836D7">
        <w:rPr>
          <w:sz w:val="18"/>
          <w:lang w:val="en-GB"/>
        </w:rPr>
        <w:t xml:space="preserve">But for </w:t>
      </w:r>
      <w:r>
        <w:rPr>
          <w:sz w:val="18"/>
          <w:lang w:val="en-GB"/>
        </w:rPr>
        <w:t>higher-cost future suppliers (Australia, Western Canada, and potentially East Africa), even a partial indexation to Hub-based pricing may be difficult to financially justify</w:t>
      </w:r>
      <w:r w:rsidR="00CF79BA">
        <w:rPr>
          <w:sz w:val="18"/>
          <w:lang w:val="en-GB"/>
        </w:rPr>
        <w:t xml:space="preserve"> as they are closely tied to the oil price and because liquefaction and upstream project costs are high</w:t>
      </w:r>
      <w:r>
        <w:rPr>
          <w:sz w:val="18"/>
          <w:lang w:val="en-GB"/>
        </w:rPr>
        <w:t xml:space="preserve">.  Since the visibility of energy markets is so short, locking in long-term contracts </w:t>
      </w:r>
      <w:r w:rsidR="00CF79BA">
        <w:rPr>
          <w:sz w:val="18"/>
          <w:lang w:val="en-GB"/>
        </w:rPr>
        <w:t>between</w:t>
      </w:r>
      <w:r>
        <w:rPr>
          <w:sz w:val="18"/>
          <w:lang w:val="en-GB"/>
        </w:rPr>
        <w:t xml:space="preserve"> sellers and buyers </w:t>
      </w:r>
      <w:r w:rsidR="00CF79BA">
        <w:rPr>
          <w:sz w:val="18"/>
          <w:lang w:val="en-GB"/>
        </w:rPr>
        <w:t xml:space="preserve">has been and will continue to be challenging </w:t>
      </w:r>
      <w:r>
        <w:rPr>
          <w:sz w:val="18"/>
          <w:lang w:val="en-GB"/>
        </w:rPr>
        <w:t>when</w:t>
      </w:r>
      <w:r w:rsidR="00CF79BA">
        <w:rPr>
          <w:sz w:val="18"/>
          <w:lang w:val="en-GB"/>
        </w:rPr>
        <w:t xml:space="preserve"> negotiating contracts for new projects</w:t>
      </w:r>
      <w:r>
        <w:rPr>
          <w:sz w:val="18"/>
          <w:lang w:val="en-GB"/>
        </w:rPr>
        <w:t xml:space="preserve">.  For shorter-term deals, though, creativity between parties may help </w:t>
      </w:r>
      <w:r w:rsidR="00CF79BA">
        <w:rPr>
          <w:sz w:val="18"/>
          <w:lang w:val="en-GB"/>
        </w:rPr>
        <w:t xml:space="preserve">to conclude new supply deals. </w:t>
      </w:r>
    </w:p>
    <w:p w:rsidR="000C270F" w:rsidRDefault="000C270F" w:rsidP="000C270F">
      <w:pPr>
        <w:spacing w:line="252" w:lineRule="auto"/>
        <w:jc w:val="both"/>
        <w:rPr>
          <w:sz w:val="18"/>
          <w:lang w:val="en-GB"/>
        </w:rPr>
      </w:pPr>
      <w:r w:rsidRPr="007836D7">
        <w:rPr>
          <w:b/>
          <w:color w:val="215A99"/>
          <w:sz w:val="18"/>
          <w:lang w:val="en-GB"/>
        </w:rPr>
        <w:lastRenderedPageBreak/>
        <w:t>Will Henry Hub start rising?</w:t>
      </w:r>
      <w:r w:rsidRPr="007836D7">
        <w:rPr>
          <w:sz w:val="18"/>
          <w:lang w:val="en-GB"/>
        </w:rPr>
        <w:t xml:space="preserve"> Henry Hub closed 2012 without a single month averaging more than $3.5/</w:t>
      </w:r>
      <w:proofErr w:type="spellStart"/>
      <w:r w:rsidRPr="007836D7">
        <w:rPr>
          <w:sz w:val="18"/>
          <w:lang w:val="en-GB"/>
        </w:rPr>
        <w:t>mmBtu</w:t>
      </w:r>
      <w:proofErr w:type="spellEnd"/>
      <w:r w:rsidRPr="007836D7">
        <w:rPr>
          <w:sz w:val="18"/>
          <w:lang w:val="en-GB"/>
        </w:rPr>
        <w:t xml:space="preserve">. This price weakness is leading to substantial demand growth in </w:t>
      </w:r>
      <w:r>
        <w:rPr>
          <w:sz w:val="18"/>
          <w:lang w:val="en-GB"/>
        </w:rPr>
        <w:t xml:space="preserve">the power sector, is accelerating coal exports, chiefly to Europe, is deepening the shift to liquids-rich plays, and is making foreign companies look at US LNG exports as an attractive proposition. A higher price at Henry Hub and a resulting narrower spread between other price benchmarks (NBP, JCC, WTI, and Brent) could easily temper many of these dynamics.   </w:t>
      </w:r>
    </w:p>
    <w:p w:rsidR="000C270F" w:rsidRPr="007836D7" w:rsidRDefault="000C270F" w:rsidP="000C270F">
      <w:pPr>
        <w:spacing w:line="252" w:lineRule="auto"/>
        <w:jc w:val="both"/>
        <w:rPr>
          <w:sz w:val="18"/>
          <w:lang w:val="en-GB"/>
        </w:rPr>
      </w:pPr>
    </w:p>
    <w:p w:rsidR="000C270F" w:rsidRPr="007836D7" w:rsidRDefault="000C270F" w:rsidP="000C270F">
      <w:pPr>
        <w:spacing w:line="252" w:lineRule="auto"/>
        <w:jc w:val="both"/>
        <w:rPr>
          <w:sz w:val="18"/>
          <w:lang w:val="en-GB"/>
        </w:rPr>
      </w:pPr>
      <w:r w:rsidRPr="007836D7">
        <w:rPr>
          <w:b/>
          <w:color w:val="215A99"/>
          <w:sz w:val="18"/>
          <w:lang w:val="en-GB"/>
        </w:rPr>
        <w:t>Will another North American LNG project be sanctioned?</w:t>
      </w:r>
      <w:r w:rsidRPr="007836D7">
        <w:rPr>
          <w:sz w:val="18"/>
          <w:lang w:val="en-GB"/>
        </w:rPr>
        <w:t xml:space="preserve">  </w:t>
      </w:r>
      <w:r w:rsidRPr="00F24677">
        <w:rPr>
          <w:sz w:val="18"/>
          <w:lang w:val="en-GB"/>
        </w:rPr>
        <w:t xml:space="preserve">PETRONAS LNG T9 </w:t>
      </w:r>
      <w:r>
        <w:rPr>
          <w:sz w:val="18"/>
          <w:lang w:val="en-GB"/>
        </w:rPr>
        <w:t xml:space="preserve">and Sabine Pass T3-4 have </w:t>
      </w:r>
      <w:r w:rsidRPr="00F24677">
        <w:rPr>
          <w:sz w:val="18"/>
          <w:lang w:val="en-GB"/>
        </w:rPr>
        <w:t>already taken FID in 2013, but what next? In the United States, the next slate of projects awaits approvals from Federal Energy Regulatory Commission (FERC) and the Department of Energy (DOE). Although the DOE has given the green light to another project (Freeport LNG T1-2), environmental review schedules released by FERC in April and May 2013 show that even the most advanced projects can’t expect to receive full federal approval within the year. Even after receiving approval, projects will still have to finalize SPAs and financing agreements, pushi</w:t>
      </w:r>
      <w:r w:rsidR="00CF79BA">
        <w:rPr>
          <w:sz w:val="18"/>
          <w:lang w:val="en-GB"/>
        </w:rPr>
        <w:t>ng the date for any US sanction</w:t>
      </w:r>
      <w:r>
        <w:rPr>
          <w:sz w:val="18"/>
          <w:lang w:val="en-GB"/>
        </w:rPr>
        <w:t xml:space="preserve"> into mid-</w:t>
      </w:r>
      <w:r w:rsidRPr="00F24677">
        <w:rPr>
          <w:sz w:val="18"/>
          <w:lang w:val="en-GB"/>
        </w:rPr>
        <w:t xml:space="preserve">2014 at the earliest. So far, the constituencies favouring LNG exports have been vocal and well organized; but opposition is growing from a group that involves gas users, environmentalists (who are concerned about </w:t>
      </w:r>
      <w:proofErr w:type="spellStart"/>
      <w:r w:rsidRPr="00F24677">
        <w:rPr>
          <w:sz w:val="18"/>
          <w:lang w:val="en-GB"/>
        </w:rPr>
        <w:t>fracking</w:t>
      </w:r>
      <w:proofErr w:type="spellEnd"/>
      <w:r w:rsidRPr="00F24677">
        <w:rPr>
          <w:sz w:val="18"/>
          <w:lang w:val="en-GB"/>
        </w:rPr>
        <w:t>) and energy “nationalists” who believe that gas should be kept at home. In 2013, we will see how these two coalitions evolve.</w:t>
      </w:r>
    </w:p>
    <w:p w:rsidR="000C270F" w:rsidRPr="007836D7" w:rsidRDefault="000C270F" w:rsidP="000C270F">
      <w:pPr>
        <w:spacing w:line="252" w:lineRule="auto"/>
        <w:jc w:val="both"/>
        <w:rPr>
          <w:sz w:val="18"/>
          <w:lang w:val="en-GB"/>
        </w:rPr>
      </w:pPr>
    </w:p>
    <w:p w:rsidR="000C270F" w:rsidRDefault="000C270F" w:rsidP="000C270F">
      <w:pPr>
        <w:spacing w:line="252" w:lineRule="auto"/>
        <w:jc w:val="both"/>
        <w:rPr>
          <w:sz w:val="18"/>
          <w:lang w:val="en-GB"/>
        </w:rPr>
      </w:pPr>
      <w:r w:rsidRPr="007836D7">
        <w:rPr>
          <w:sz w:val="18"/>
          <w:lang w:val="en-GB"/>
        </w:rPr>
        <w:t>Meanwhile, the number of proposed projects in Western Canada continues to grow.  Which will gain momentum in 2013?  Chevron’s entry into Kitimat has re</w:t>
      </w:r>
      <w:r w:rsidR="00CF79BA">
        <w:rPr>
          <w:sz w:val="18"/>
          <w:lang w:val="en-GB"/>
        </w:rPr>
        <w:t>-</w:t>
      </w:r>
      <w:r w:rsidRPr="007836D7">
        <w:rPr>
          <w:sz w:val="18"/>
          <w:lang w:val="en-GB"/>
        </w:rPr>
        <w:t xml:space="preserve">energized that project, although the project still faces a structural problem (buyers’ demand for hub-linked pricing). Will Shell’s LNG Canada outpace other projects because it has potential offtakers (KOGAS, </w:t>
      </w:r>
      <w:r>
        <w:rPr>
          <w:sz w:val="18"/>
          <w:lang w:val="en-GB"/>
        </w:rPr>
        <w:t>PetroChina, and Mitsubishi) in the partnership structure already? Does PETRONAS view Pacific Northwest LNG as a long-term project to meet a future demand problem in Malaysia? Will other acreage holders (BG, ExxonMobil) kick</w:t>
      </w:r>
      <w:r w:rsidR="00CF79BA">
        <w:rPr>
          <w:sz w:val="18"/>
          <w:lang w:val="en-GB"/>
        </w:rPr>
        <w:t>-</w:t>
      </w:r>
      <w:r>
        <w:rPr>
          <w:sz w:val="18"/>
          <w:lang w:val="en-GB"/>
        </w:rPr>
        <w:t xml:space="preserve">start their own projects?  With all these large players carving out a stake in Western Canada, there may be opportunity to aggregate resources and share infrastructure – but the Queensland industry which had a similar company composition failed to cooperate leaving many operators with high-cost investments. </w:t>
      </w:r>
    </w:p>
    <w:p w:rsidR="000C270F" w:rsidRPr="007836D7" w:rsidRDefault="000C270F" w:rsidP="000C270F">
      <w:pPr>
        <w:spacing w:line="252" w:lineRule="auto"/>
        <w:jc w:val="both"/>
        <w:rPr>
          <w:sz w:val="18"/>
          <w:lang w:val="en-GB"/>
        </w:rPr>
      </w:pPr>
    </w:p>
    <w:p w:rsidR="000C270F" w:rsidRDefault="000C270F" w:rsidP="000C270F">
      <w:pPr>
        <w:spacing w:line="252" w:lineRule="auto"/>
        <w:jc w:val="both"/>
        <w:rPr>
          <w:sz w:val="18"/>
          <w:lang w:val="en-GB"/>
        </w:rPr>
      </w:pPr>
      <w:r w:rsidRPr="007836D7">
        <w:rPr>
          <w:b/>
          <w:color w:val="215A99"/>
          <w:sz w:val="18"/>
          <w:lang w:val="en-GB"/>
        </w:rPr>
        <w:t>How will the major emerging gas suppliers move forward?</w:t>
      </w:r>
      <w:r w:rsidRPr="007836D7">
        <w:rPr>
          <w:sz w:val="18"/>
          <w:lang w:val="en-GB"/>
        </w:rPr>
        <w:t xml:space="preserve"> In LNG, there are three main frontier areas besides North America: the Eastern Mediterranean, East Africa (Mozambique and Tanzania), and the Arctic (Yamal and, less so, Alaska). In each of these plays, LNG developments have made active progress either through the addition of partners or through a more precise </w:t>
      </w:r>
      <w:r w:rsidRPr="007836D7">
        <w:rPr>
          <w:sz w:val="18"/>
          <w:lang w:val="en-GB"/>
        </w:rPr>
        <w:lastRenderedPageBreak/>
        <w:t>commercialization method. But all still have to overcome</w:t>
      </w:r>
      <w:r>
        <w:rPr>
          <w:sz w:val="18"/>
          <w:lang w:val="en-GB"/>
        </w:rPr>
        <w:t xml:space="preserve"> </w:t>
      </w:r>
      <w:r w:rsidRPr="007836D7">
        <w:rPr>
          <w:sz w:val="18"/>
          <w:lang w:val="en-GB"/>
        </w:rPr>
        <w:t xml:space="preserve">considerable obstacles before sanction. </w:t>
      </w:r>
    </w:p>
    <w:p w:rsidR="00BB1CB8" w:rsidRDefault="00BB1CB8" w:rsidP="000C270F">
      <w:pPr>
        <w:spacing w:line="252" w:lineRule="auto"/>
        <w:jc w:val="both"/>
        <w:rPr>
          <w:sz w:val="18"/>
          <w:lang w:val="en-GB"/>
        </w:rPr>
      </w:pPr>
    </w:p>
    <w:p w:rsidR="000C270F" w:rsidRPr="007836D7" w:rsidRDefault="000C270F" w:rsidP="000C270F">
      <w:pPr>
        <w:spacing w:line="252" w:lineRule="auto"/>
        <w:jc w:val="both"/>
        <w:rPr>
          <w:sz w:val="18"/>
          <w:lang w:val="en-GB"/>
        </w:rPr>
      </w:pPr>
      <w:r w:rsidRPr="007836D7">
        <w:rPr>
          <w:sz w:val="18"/>
          <w:lang w:val="en-GB"/>
        </w:rPr>
        <w:t xml:space="preserve">In pipeline gas, the two main focus areas will continue to be 1) Central Asia and the pace of developing more exports to China, and 2) the Southern Corridor as the decision for Shah </w:t>
      </w:r>
      <w:proofErr w:type="spellStart"/>
      <w:r w:rsidRPr="007836D7">
        <w:rPr>
          <w:sz w:val="18"/>
          <w:lang w:val="en-GB"/>
        </w:rPr>
        <w:t>Deniz</w:t>
      </w:r>
      <w:proofErr w:type="spellEnd"/>
      <w:r w:rsidRPr="007836D7">
        <w:rPr>
          <w:sz w:val="18"/>
          <w:lang w:val="en-GB"/>
        </w:rPr>
        <w:t xml:space="preserve"> 2 approaches and as Gazprom redoubles its efforts to move ahead with South Stream. At the end of 2013, the industry is likely to have a much better picture of gas flows in SE Europe and from Central Asia. </w:t>
      </w:r>
    </w:p>
    <w:p w:rsidR="000C270F" w:rsidRPr="007836D7" w:rsidRDefault="000C270F" w:rsidP="000C270F">
      <w:pPr>
        <w:spacing w:line="252" w:lineRule="auto"/>
        <w:jc w:val="both"/>
        <w:rPr>
          <w:sz w:val="18"/>
          <w:lang w:val="en-GB"/>
        </w:rPr>
      </w:pPr>
    </w:p>
    <w:p w:rsidR="000C270F" w:rsidRPr="007836D7" w:rsidRDefault="000C270F" w:rsidP="000C270F">
      <w:pPr>
        <w:spacing w:line="252" w:lineRule="auto"/>
        <w:jc w:val="both"/>
        <w:rPr>
          <w:sz w:val="18"/>
          <w:lang w:val="en-GB"/>
        </w:rPr>
      </w:pPr>
      <w:r w:rsidRPr="007836D7">
        <w:rPr>
          <w:b/>
          <w:color w:val="215A99"/>
          <w:sz w:val="18"/>
          <w:lang w:val="en-GB"/>
        </w:rPr>
        <w:t>Will Japan, Korea and Taiwan rethink nuclear power?</w:t>
      </w:r>
      <w:r w:rsidRPr="007836D7">
        <w:rPr>
          <w:sz w:val="18"/>
          <w:lang w:val="en-GB"/>
        </w:rPr>
        <w:t xml:space="preserve"> The electoral win of </w:t>
      </w:r>
      <w:proofErr w:type="spellStart"/>
      <w:r w:rsidRPr="007836D7">
        <w:rPr>
          <w:sz w:val="18"/>
          <w:lang w:val="en-GB"/>
        </w:rPr>
        <w:t>Shinzo</w:t>
      </w:r>
      <w:proofErr w:type="spellEnd"/>
      <w:r w:rsidRPr="007836D7">
        <w:rPr>
          <w:sz w:val="18"/>
          <w:lang w:val="en-GB"/>
        </w:rPr>
        <w:t xml:space="preserve"> Abe has marked a shift in nuclear power in Japan, bringing to power a government who is keener to see the nuclear energy industry both survive and perhaps grow. Meanwhile, South Korean regulators are tightening oversight over nuclear reactors in response to finds that certificates for many parts were actually </w:t>
      </w:r>
      <w:proofErr w:type="gramStart"/>
      <w:r w:rsidRPr="007836D7">
        <w:rPr>
          <w:sz w:val="18"/>
          <w:lang w:val="en-GB"/>
        </w:rPr>
        <w:t>fake</w:t>
      </w:r>
      <w:proofErr w:type="gramEnd"/>
      <w:r w:rsidRPr="007836D7">
        <w:rPr>
          <w:sz w:val="18"/>
          <w:lang w:val="en-GB"/>
        </w:rPr>
        <w:t xml:space="preserve">. And in Taiwan, the </w:t>
      </w:r>
      <w:proofErr w:type="spellStart"/>
      <w:r w:rsidRPr="007836D7">
        <w:rPr>
          <w:sz w:val="18"/>
          <w:lang w:val="en-GB"/>
        </w:rPr>
        <w:t>Longmen</w:t>
      </w:r>
      <w:proofErr w:type="spellEnd"/>
      <w:r w:rsidRPr="007836D7">
        <w:rPr>
          <w:sz w:val="18"/>
          <w:lang w:val="en-GB"/>
        </w:rPr>
        <w:t xml:space="preserve"> reactor continues to be plagued by long delays. Where exactly will these three countries stand vis-à-vis nuclear power at the end of 2013 and will Japan’s record LNG imports in 2012 start to fall? </w:t>
      </w:r>
    </w:p>
    <w:p w:rsidR="000C270F" w:rsidRPr="007836D7" w:rsidRDefault="000C270F" w:rsidP="000C270F">
      <w:pPr>
        <w:spacing w:line="252" w:lineRule="auto"/>
        <w:jc w:val="both"/>
        <w:rPr>
          <w:sz w:val="18"/>
          <w:lang w:val="en-GB"/>
        </w:rPr>
      </w:pPr>
    </w:p>
    <w:p w:rsidR="000C270F" w:rsidRDefault="000C270F" w:rsidP="000C270F">
      <w:pPr>
        <w:spacing w:line="252" w:lineRule="auto"/>
        <w:jc w:val="both"/>
        <w:rPr>
          <w:sz w:val="18"/>
          <w:lang w:val="en-GB"/>
        </w:rPr>
      </w:pPr>
      <w:r w:rsidRPr="007836D7">
        <w:rPr>
          <w:b/>
          <w:color w:val="215A99"/>
          <w:sz w:val="18"/>
          <w:lang w:val="en-GB"/>
        </w:rPr>
        <w:t xml:space="preserve">Will price reform happen in a major way in Asia? </w:t>
      </w:r>
      <w:r w:rsidRPr="007836D7">
        <w:rPr>
          <w:sz w:val="18"/>
          <w:lang w:val="en-GB"/>
        </w:rPr>
        <w:t xml:space="preserve">China and India, after years of experimenting with gradual price reform, have been tinkering with the possibility of making broader more systematic changes to their gas pricing structures in order to provide greater predictability for companies and consumers. Other countries – such as Malaysia and </w:t>
      </w:r>
      <w:r>
        <w:rPr>
          <w:sz w:val="18"/>
          <w:lang w:val="en-GB"/>
        </w:rPr>
        <w:t>Bangladesh – are trying to rationalize prices to make imports more viable and profitable. Progress on price reform could have a significant impact on future E&amp;P and imports.</w:t>
      </w:r>
    </w:p>
    <w:p w:rsidR="000C270F" w:rsidRDefault="000C270F" w:rsidP="000C270F">
      <w:pPr>
        <w:spacing w:line="252" w:lineRule="auto"/>
        <w:jc w:val="both"/>
        <w:rPr>
          <w:sz w:val="18"/>
          <w:lang w:val="en-GB"/>
        </w:rPr>
      </w:pPr>
    </w:p>
    <w:p w:rsidR="000C270F" w:rsidRDefault="000C270F" w:rsidP="000C270F">
      <w:pPr>
        <w:spacing w:line="252" w:lineRule="auto"/>
        <w:jc w:val="both"/>
        <w:rPr>
          <w:sz w:val="18"/>
          <w:lang w:val="en-GB"/>
        </w:rPr>
      </w:pPr>
      <w:r>
        <w:rPr>
          <w:sz w:val="18"/>
          <w:lang w:val="en-GB"/>
        </w:rPr>
        <w:t xml:space="preserve">All governments retain energy policy and internal pricing systems as their sovereign tool. Pricing in general will remain dependent upon the government’s ability to balance a range of political goals including sovereign “independence”, social peace, and employment. </w:t>
      </w:r>
    </w:p>
    <w:p w:rsidR="000C270F" w:rsidRPr="007836D7" w:rsidRDefault="000C270F" w:rsidP="000C270F">
      <w:pPr>
        <w:spacing w:line="252" w:lineRule="auto"/>
        <w:jc w:val="both"/>
        <w:rPr>
          <w:sz w:val="18"/>
          <w:lang w:val="en-GB"/>
        </w:rPr>
      </w:pPr>
    </w:p>
    <w:p w:rsidR="000C270F" w:rsidRDefault="000C270F" w:rsidP="000C270F">
      <w:pPr>
        <w:keepLines/>
        <w:spacing w:line="252" w:lineRule="auto"/>
        <w:jc w:val="both"/>
        <w:rPr>
          <w:sz w:val="18"/>
          <w:lang w:val="en-GB"/>
        </w:rPr>
      </w:pPr>
      <w:r w:rsidRPr="007836D7">
        <w:rPr>
          <w:b/>
          <w:color w:val="215A99"/>
          <w:sz w:val="18"/>
          <w:lang w:val="en-GB"/>
        </w:rPr>
        <w:t>Will Europe’s gas market rebound?</w:t>
      </w:r>
      <w:r w:rsidRPr="007836D7">
        <w:rPr>
          <w:sz w:val="18"/>
          <w:lang w:val="en-GB"/>
        </w:rPr>
        <w:t xml:space="preserve"> The growth in coal exports from the United States, the oversupply of carbon credits, a generally </w:t>
      </w:r>
      <w:proofErr w:type="spellStart"/>
      <w:r w:rsidRPr="007836D7">
        <w:rPr>
          <w:sz w:val="18"/>
          <w:lang w:val="en-GB"/>
        </w:rPr>
        <w:t>anemic</w:t>
      </w:r>
      <w:proofErr w:type="spellEnd"/>
      <w:r w:rsidRPr="007836D7">
        <w:rPr>
          <w:sz w:val="18"/>
          <w:lang w:val="en-GB"/>
        </w:rPr>
        <w:t xml:space="preserve"> economy, and the growth of renewables have all squeezed natural gas demand and the financials of the companies that supply it. </w:t>
      </w:r>
    </w:p>
    <w:p w:rsidR="000C270F" w:rsidRPr="007836D7" w:rsidRDefault="000C270F" w:rsidP="000C270F">
      <w:pPr>
        <w:keepLines/>
        <w:spacing w:line="252" w:lineRule="auto"/>
        <w:jc w:val="both"/>
        <w:rPr>
          <w:sz w:val="18"/>
          <w:lang w:val="en-GB"/>
        </w:rPr>
      </w:pPr>
    </w:p>
    <w:p w:rsidR="000C270F" w:rsidRDefault="000C270F" w:rsidP="000C270F">
      <w:pPr>
        <w:keepLines/>
        <w:spacing w:line="252" w:lineRule="auto"/>
        <w:jc w:val="both"/>
        <w:rPr>
          <w:sz w:val="18"/>
          <w:lang w:val="en-GB"/>
        </w:rPr>
      </w:pPr>
      <w:r w:rsidRPr="00407EE8">
        <w:rPr>
          <w:sz w:val="18"/>
          <w:lang w:val="en-GB"/>
        </w:rPr>
        <w:t>Will 2013 see a continuation of these trends or no</w:t>
      </w:r>
      <w:r w:rsidR="0020752F">
        <w:rPr>
          <w:sz w:val="18"/>
          <w:lang w:val="en-GB"/>
        </w:rPr>
        <w:t>t</w:t>
      </w:r>
      <w:r w:rsidRPr="00407EE8">
        <w:rPr>
          <w:sz w:val="18"/>
          <w:lang w:val="en-GB"/>
        </w:rPr>
        <w:t xml:space="preserve">? </w:t>
      </w:r>
      <w:r w:rsidRPr="007836D7">
        <w:rPr>
          <w:sz w:val="18"/>
          <w:lang w:val="en-GB"/>
        </w:rPr>
        <w:t xml:space="preserve">Will </w:t>
      </w:r>
      <w:r>
        <w:rPr>
          <w:sz w:val="18"/>
          <w:lang w:val="en-GB"/>
        </w:rPr>
        <w:t xml:space="preserve">European politicians redouble their action on climate change and will they remove incentives for renewables? How exactly will such changes impact gas, and if gas demand does recover, at what price will LNG be available? </w:t>
      </w:r>
    </w:p>
    <w:p w:rsidR="000C270F" w:rsidRDefault="000C270F" w:rsidP="000C270F">
      <w:pPr>
        <w:keepLines/>
        <w:spacing w:line="252" w:lineRule="auto"/>
        <w:jc w:val="both"/>
        <w:rPr>
          <w:sz w:val="18"/>
          <w:lang w:val="en-GB"/>
        </w:rPr>
      </w:pPr>
    </w:p>
    <w:p w:rsidR="000C270F" w:rsidRDefault="000C270F" w:rsidP="000C270F">
      <w:pPr>
        <w:keepLines/>
        <w:spacing w:line="252" w:lineRule="auto"/>
        <w:jc w:val="both"/>
        <w:rPr>
          <w:sz w:val="18"/>
          <w:lang w:val="en-GB"/>
        </w:rPr>
      </w:pPr>
      <w:r>
        <w:rPr>
          <w:sz w:val="18"/>
          <w:lang w:val="en-GB"/>
        </w:rPr>
        <w:lastRenderedPageBreak/>
        <w:t xml:space="preserve">Europe is at the </w:t>
      </w:r>
      <w:proofErr w:type="spellStart"/>
      <w:r>
        <w:rPr>
          <w:sz w:val="18"/>
          <w:lang w:val="en-GB"/>
        </w:rPr>
        <w:t>center</w:t>
      </w:r>
      <w:proofErr w:type="spellEnd"/>
      <w:r>
        <w:rPr>
          <w:sz w:val="18"/>
          <w:lang w:val="en-GB"/>
        </w:rPr>
        <w:t xml:space="preserve"> of a pricing battle between the traditional, oil-indexed contract and the new-hub based contract. On the one hand there is weak demand which keeps putting pressure on sellers to make gas more competitive; but on the other, there is a growing supply constraint in the LNG market, which shrinks the alternatives that European buyers can turn to. In part the constraint will impact how pricing negotiations evolve in 2013 and beyond; and in part, the industry will keep searching for a new demand paradigm (for example, in transport) to reenergize a market that has stagnated in recent years. </w:t>
      </w:r>
    </w:p>
    <w:p w:rsidR="000C270F" w:rsidRDefault="000C270F" w:rsidP="000C270F">
      <w:pPr>
        <w:keepLines/>
        <w:spacing w:line="252" w:lineRule="auto"/>
        <w:jc w:val="both"/>
        <w:rPr>
          <w:sz w:val="18"/>
          <w:lang w:val="en-GB"/>
        </w:rPr>
      </w:pPr>
    </w:p>
    <w:p w:rsidR="000C270F" w:rsidRDefault="008B1893" w:rsidP="000C270F">
      <w:pPr>
        <w:keepLines/>
        <w:spacing w:line="252" w:lineRule="auto"/>
        <w:jc w:val="both"/>
        <w:rPr>
          <w:sz w:val="18"/>
          <w:lang w:val="en-GB"/>
        </w:rPr>
      </w:pPr>
      <w:r>
        <w:rPr>
          <w:b/>
          <w:color w:val="215A99"/>
          <w:sz w:val="18"/>
          <w:lang w:val="en-GB"/>
        </w:rPr>
        <w:t>How will Russia export gas</w:t>
      </w:r>
      <w:r w:rsidR="000C270F" w:rsidRPr="00407EE8">
        <w:rPr>
          <w:b/>
          <w:color w:val="215A99"/>
          <w:sz w:val="18"/>
          <w:lang w:val="en-GB"/>
        </w:rPr>
        <w:t>?</w:t>
      </w:r>
      <w:r w:rsidR="000C270F" w:rsidRPr="007836D7">
        <w:rPr>
          <w:sz w:val="18"/>
          <w:lang w:val="en-GB"/>
        </w:rPr>
        <w:t xml:space="preserve"> </w:t>
      </w:r>
      <w:r w:rsidR="00C36F81">
        <w:rPr>
          <w:sz w:val="18"/>
          <w:lang w:val="en-GB"/>
        </w:rPr>
        <w:t>There is clearly a</w:t>
      </w:r>
      <w:r w:rsidR="00C36F81" w:rsidRPr="00C36F81">
        <w:rPr>
          <w:sz w:val="18"/>
          <w:lang w:val="en-GB"/>
        </w:rPr>
        <w:t xml:space="preserve"> political and strategic game </w:t>
      </w:r>
      <w:r w:rsidR="00C36F81">
        <w:rPr>
          <w:sz w:val="18"/>
          <w:lang w:val="en-GB"/>
        </w:rPr>
        <w:t>being played by several actors</w:t>
      </w:r>
      <w:r w:rsidR="00C36F81" w:rsidRPr="00C36F81">
        <w:rPr>
          <w:sz w:val="18"/>
          <w:lang w:val="en-GB"/>
        </w:rPr>
        <w:t xml:space="preserve">: Gazprom which wants to preserve its monopoly, </w:t>
      </w:r>
      <w:proofErr w:type="spellStart"/>
      <w:r w:rsidR="00C36F81" w:rsidRPr="00C36F81">
        <w:rPr>
          <w:sz w:val="18"/>
          <w:lang w:val="en-GB"/>
        </w:rPr>
        <w:t>Novatek</w:t>
      </w:r>
      <w:proofErr w:type="spellEnd"/>
      <w:r w:rsidR="00C36F81" w:rsidRPr="00C36F81">
        <w:rPr>
          <w:sz w:val="18"/>
          <w:lang w:val="en-GB"/>
        </w:rPr>
        <w:t xml:space="preserve"> which wants to begin exporting LNG, the Kremlin which wants to increase its </w:t>
      </w:r>
      <w:r w:rsidR="00C36F81">
        <w:rPr>
          <w:sz w:val="18"/>
          <w:lang w:val="en-GB"/>
        </w:rPr>
        <w:t>Russian gas</w:t>
      </w:r>
      <w:r w:rsidR="00C36F81" w:rsidRPr="00C36F81">
        <w:rPr>
          <w:sz w:val="18"/>
          <w:lang w:val="en-GB"/>
        </w:rPr>
        <w:t xml:space="preserve"> exports, and other major oil companies who see a possibility to move into territory traditionally held by Gazprom. Meanwhile, European buyers have remained firm in their desire for different pricing structures.  Thus, the industry will try to assess in the coming years which internal developments will occur that could change the trajectory of the Russian gas.</w:t>
      </w:r>
    </w:p>
    <w:p w:rsidR="000C270F" w:rsidRDefault="000C270F" w:rsidP="000C270F">
      <w:pPr>
        <w:keepLines/>
        <w:widowControl/>
        <w:rPr>
          <w:sz w:val="18"/>
          <w:lang w:val="en-GB"/>
        </w:rPr>
      </w:pPr>
    </w:p>
    <w:p w:rsidR="000C270F" w:rsidRDefault="00073EEA" w:rsidP="000C270F">
      <w:pPr>
        <w:widowControl/>
        <w:sectPr w:rsidR="000C270F" w:rsidSect="000C270F">
          <w:headerReference w:type="default" r:id="rId87"/>
          <w:headerReference w:type="first" r:id="rId88"/>
          <w:type w:val="continuous"/>
          <w:pgSz w:w="12240" w:h="15840" w:code="1"/>
          <w:pgMar w:top="1728" w:right="1080" w:bottom="1080" w:left="1008" w:header="720" w:footer="504" w:gutter="0"/>
          <w:cols w:num="2" w:space="418" w:equalWidth="0">
            <w:col w:w="4867" w:space="418"/>
            <w:col w:w="4867"/>
          </w:cols>
          <w:docGrid w:linePitch="272"/>
        </w:sectPr>
      </w:pPr>
      <w:r w:rsidRPr="00073EEA">
        <w:rPr>
          <w:noProof/>
          <w:sz w:val="18"/>
          <w:lang w:eastAsia="en-US"/>
        </w:rPr>
        <w:pict>
          <v:shape id="_x0000_s1101" type="#_x0000_t202" style="position:absolute;margin-left:4.7pt;margin-top:345.25pt;width:103.95pt;height:14.7pt;z-index:251687936;mso-width-relative:margin;mso-height-relative:margin" filled="f" stroked="f" strokecolor="silver">
            <v:textbox>
              <w:txbxContent>
                <w:p w:rsidR="00856114" w:rsidRPr="000C270F" w:rsidRDefault="00856114" w:rsidP="000C270F">
                  <w:pPr>
                    <w:rPr>
                      <w:color w:val="FFFFFF" w:themeColor="background1"/>
                      <w:sz w:val="12"/>
                      <w:szCs w:val="12"/>
                    </w:rPr>
                  </w:pPr>
                  <w:r w:rsidRPr="000C270F">
                    <w:rPr>
                      <w:color w:val="FFFFFF" w:themeColor="background1"/>
                      <w:sz w:val="12"/>
                      <w:szCs w:val="12"/>
                    </w:rPr>
                    <w:t xml:space="preserve">© </w:t>
                  </w:r>
                  <w:r>
                    <w:rPr>
                      <w:color w:val="FFFFFF" w:themeColor="background1"/>
                      <w:sz w:val="12"/>
                      <w:szCs w:val="12"/>
                    </w:rPr>
                    <w:t xml:space="preserve">Gonzalez Thierry </w:t>
                  </w:r>
                  <w:r w:rsidRPr="000C270F">
                    <w:rPr>
                      <w:color w:val="FFFFFF" w:themeColor="background1"/>
                      <w:sz w:val="12"/>
                      <w:szCs w:val="12"/>
                    </w:rPr>
                    <w:t>/ TOTAL</w:t>
                  </w:r>
                </w:p>
              </w:txbxContent>
            </v:textbox>
          </v:shape>
        </w:pict>
      </w:r>
      <w:r w:rsidR="000C270F">
        <w:rPr>
          <w:noProof/>
          <w:sz w:val="18"/>
          <w:lang w:val="fr-FR" w:eastAsia="zh-CN"/>
        </w:rPr>
        <w:drawing>
          <wp:inline distT="0" distB="0" distL="0" distR="0">
            <wp:extent cx="3090545" cy="4635705"/>
            <wp:effectExtent l="19050" t="0" r="0" b="0"/>
            <wp:docPr id="46" name="Picture 10" descr="C:\Users\gsudhakar\AppData\Local\Microsoft\Windows\Temporary Internet Files\Content.Outlook\JHEXXTT8\G5163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sudhakar\AppData\Local\Microsoft\Windows\Temporary Internet Files\Content.Outlook\JHEXXTT8\G51634 (3).JPG"/>
                    <pic:cNvPicPr>
                      <a:picLocks noChangeAspect="1" noChangeArrowheads="1"/>
                    </pic:cNvPicPr>
                  </pic:nvPicPr>
                  <pic:blipFill>
                    <a:blip r:embed="rId89" cstate="print"/>
                    <a:srcRect/>
                    <a:stretch>
                      <a:fillRect/>
                    </a:stretch>
                  </pic:blipFill>
                  <pic:spPr bwMode="auto">
                    <a:xfrm>
                      <a:off x="0" y="0"/>
                      <a:ext cx="3090545" cy="4635705"/>
                    </a:xfrm>
                    <a:prstGeom prst="rect">
                      <a:avLst/>
                    </a:prstGeom>
                    <a:noFill/>
                    <a:ln w="9525">
                      <a:noFill/>
                      <a:miter lim="800000"/>
                      <a:headEnd/>
                      <a:tailEnd/>
                    </a:ln>
                  </pic:spPr>
                </pic:pic>
              </a:graphicData>
            </a:graphic>
          </wp:inline>
        </w:drawing>
      </w:r>
      <w:r w:rsidR="000C270F">
        <w:rPr>
          <w:sz w:val="18"/>
          <w:lang w:val="en-GB"/>
        </w:rPr>
        <w:t xml:space="preserve">First cargo at Yemen LNG, </w:t>
      </w:r>
      <w:proofErr w:type="spellStart"/>
      <w:r w:rsidR="000C270F">
        <w:rPr>
          <w:sz w:val="18"/>
          <w:lang w:val="en-GB"/>
        </w:rPr>
        <w:t>Balhaf</w:t>
      </w:r>
      <w:proofErr w:type="spellEnd"/>
      <w:r w:rsidR="000C270F">
        <w:rPr>
          <w:sz w:val="18"/>
          <w:lang w:val="en-GB"/>
        </w:rPr>
        <w:t>, Yemen LNG</w:t>
      </w:r>
      <w:r w:rsidR="000C270F">
        <w:t xml:space="preserve"> </w:t>
      </w:r>
    </w:p>
    <w:p w:rsidR="00DF692D" w:rsidRPr="00627EEA" w:rsidRDefault="000C270F" w:rsidP="005A5979">
      <w:pPr>
        <w:pStyle w:val="Titre1"/>
      </w:pPr>
      <w:r>
        <w:lastRenderedPageBreak/>
        <w:br w:type="page"/>
      </w:r>
      <w:bookmarkStart w:id="50" w:name="_Toc360628271"/>
      <w:r w:rsidR="00DF692D" w:rsidRPr="00627EEA">
        <w:lastRenderedPageBreak/>
        <w:t xml:space="preserve">APPENDIX I: Table of </w:t>
      </w:r>
      <w:r w:rsidR="00A95AB6">
        <w:t>Operational</w:t>
      </w:r>
      <w:r w:rsidR="00DF692D" w:rsidRPr="00627EEA">
        <w:t xml:space="preserve"> Liquefaction Plants</w:t>
      </w:r>
      <w:bookmarkEnd w:id="50"/>
    </w:p>
    <w:p w:rsidR="00DF692D" w:rsidRDefault="00DF692D" w:rsidP="00DF692D">
      <w:pPr>
        <w:spacing w:line="252" w:lineRule="auto"/>
        <w:ind w:left="180"/>
        <w:jc w:val="both"/>
        <w:rPr>
          <w:color w:val="141313" w:themeColor="text1"/>
          <w:sz w:val="18"/>
          <w:szCs w:val="22"/>
          <w:lang w:val="en-GB"/>
        </w:rPr>
        <w:sectPr w:rsidR="00DF692D" w:rsidSect="00DF692D">
          <w:type w:val="continuous"/>
          <w:pgSz w:w="12240" w:h="15840" w:code="1"/>
          <w:pgMar w:top="1728" w:right="1080" w:bottom="1080" w:left="1008" w:header="720" w:footer="504" w:gutter="0"/>
          <w:cols w:space="720"/>
          <w:docGrid w:linePitch="272"/>
        </w:sectPr>
      </w:pPr>
    </w:p>
    <w:tbl>
      <w:tblPr>
        <w:tblpPr w:leftFromText="180" w:rightFromText="180" w:vertAnchor="text" w:horzAnchor="margin" w:tblpY="5"/>
        <w:tblW w:w="10394" w:type="dxa"/>
        <w:tblLayout w:type="fixed"/>
        <w:tblLook w:val="01E0"/>
      </w:tblPr>
      <w:tblGrid>
        <w:gridCol w:w="10394"/>
      </w:tblGrid>
      <w:tr w:rsidR="00DF692D" w:rsidRPr="00A918C1" w:rsidTr="009E2AB2">
        <w:trPr>
          <w:trHeight w:val="363"/>
        </w:trPr>
        <w:tc>
          <w:tcPr>
            <w:tcW w:w="10394" w:type="dxa"/>
          </w:tcPr>
          <w:tbl>
            <w:tblPr>
              <w:tblStyle w:val="Grillemoyenne3-Accent3"/>
              <w:tblpPr w:leftFromText="180" w:rightFromText="180" w:vertAnchor="text" w:horzAnchor="margin" w:tblpY="-76"/>
              <w:tblOverlap w:val="never"/>
              <w:tblW w:w="10070" w:type="dxa"/>
              <w:tblLayout w:type="fixed"/>
              <w:tblLook w:val="0420"/>
            </w:tblPr>
            <w:tblGrid>
              <w:gridCol w:w="1160"/>
              <w:gridCol w:w="1800"/>
              <w:gridCol w:w="630"/>
              <w:gridCol w:w="1080"/>
              <w:gridCol w:w="3420"/>
              <w:gridCol w:w="1980"/>
            </w:tblGrid>
            <w:tr w:rsidR="00DF692D" w:rsidRPr="00AE7E23" w:rsidTr="00A83DA6">
              <w:trPr>
                <w:cnfStyle w:val="100000000000"/>
                <w:trHeight w:val="246"/>
              </w:trPr>
              <w:tc>
                <w:tcPr>
                  <w:tcW w:w="1160" w:type="dxa"/>
                  <w:vAlign w:val="center"/>
                </w:tcPr>
                <w:p w:rsidR="00DF692D" w:rsidRPr="00AE7E23" w:rsidRDefault="00DF692D" w:rsidP="009E2AB2">
                  <w:pPr>
                    <w:rPr>
                      <w:sz w:val="16"/>
                      <w:szCs w:val="16"/>
                      <w:lang w:val="en-GB"/>
                    </w:rPr>
                  </w:pPr>
                  <w:r w:rsidRPr="00AE7E23">
                    <w:rPr>
                      <w:sz w:val="16"/>
                      <w:szCs w:val="16"/>
                      <w:lang w:val="en-GB"/>
                    </w:rPr>
                    <w:t>Country</w:t>
                  </w:r>
                </w:p>
              </w:tc>
              <w:tc>
                <w:tcPr>
                  <w:tcW w:w="1800" w:type="dxa"/>
                  <w:vAlign w:val="center"/>
                </w:tcPr>
                <w:p w:rsidR="00DF692D" w:rsidRPr="00AE7E23" w:rsidRDefault="00DF692D" w:rsidP="009E2AB2">
                  <w:pPr>
                    <w:jc w:val="center"/>
                    <w:rPr>
                      <w:sz w:val="16"/>
                      <w:szCs w:val="16"/>
                      <w:lang w:val="en-GB"/>
                    </w:rPr>
                  </w:pPr>
                  <w:r w:rsidRPr="00AE7E23">
                    <w:rPr>
                      <w:sz w:val="16"/>
                      <w:szCs w:val="16"/>
                      <w:lang w:val="en-GB"/>
                    </w:rPr>
                    <w:t>Project Name</w:t>
                  </w:r>
                </w:p>
              </w:tc>
              <w:tc>
                <w:tcPr>
                  <w:tcW w:w="630" w:type="dxa"/>
                  <w:vAlign w:val="center"/>
                </w:tcPr>
                <w:p w:rsidR="00DF692D" w:rsidRPr="00AE7E23" w:rsidRDefault="00DF692D" w:rsidP="009E2AB2">
                  <w:pPr>
                    <w:jc w:val="center"/>
                    <w:rPr>
                      <w:sz w:val="16"/>
                      <w:szCs w:val="16"/>
                      <w:lang w:val="en-GB"/>
                    </w:rPr>
                  </w:pPr>
                  <w:r w:rsidRPr="00AE7E23">
                    <w:rPr>
                      <w:sz w:val="16"/>
                      <w:szCs w:val="16"/>
                      <w:lang w:val="en-GB"/>
                    </w:rPr>
                    <w:t>Start Year</w:t>
                  </w:r>
                </w:p>
              </w:tc>
              <w:tc>
                <w:tcPr>
                  <w:tcW w:w="1080" w:type="dxa"/>
                </w:tcPr>
                <w:p w:rsidR="00DF692D" w:rsidRPr="00AE7E23" w:rsidRDefault="00DF692D" w:rsidP="009E2AB2">
                  <w:pPr>
                    <w:jc w:val="center"/>
                    <w:rPr>
                      <w:sz w:val="16"/>
                      <w:szCs w:val="16"/>
                      <w:lang w:val="en-GB"/>
                    </w:rPr>
                  </w:pPr>
                  <w:r w:rsidRPr="00AE7E23">
                    <w:rPr>
                      <w:sz w:val="16"/>
                      <w:szCs w:val="16"/>
                      <w:lang w:val="en-GB"/>
                    </w:rPr>
                    <w:t>Nameplate Capacity</w:t>
                  </w:r>
                  <w:r>
                    <w:rPr>
                      <w:sz w:val="16"/>
                      <w:szCs w:val="16"/>
                      <w:lang w:val="en-GB"/>
                    </w:rPr>
                    <w:t xml:space="preserve"> (MTPA)</w:t>
                  </w:r>
                </w:p>
              </w:tc>
              <w:tc>
                <w:tcPr>
                  <w:tcW w:w="3420" w:type="dxa"/>
                  <w:vAlign w:val="center"/>
                </w:tcPr>
                <w:p w:rsidR="00DF692D" w:rsidRPr="00C81F2F" w:rsidRDefault="00DF692D" w:rsidP="009E2AB2">
                  <w:pPr>
                    <w:rPr>
                      <w:b w:val="0"/>
                      <w:bCs w:val="0"/>
                      <w:sz w:val="16"/>
                      <w:szCs w:val="16"/>
                      <w:lang w:val="en-GB"/>
                    </w:rPr>
                  </w:pPr>
                  <w:r>
                    <w:rPr>
                      <w:sz w:val="16"/>
                      <w:szCs w:val="16"/>
                      <w:lang w:val="en-GB"/>
                    </w:rPr>
                    <w:t>Owners*</w:t>
                  </w:r>
                </w:p>
              </w:tc>
              <w:tc>
                <w:tcPr>
                  <w:tcW w:w="1980" w:type="dxa"/>
                  <w:vAlign w:val="center"/>
                </w:tcPr>
                <w:p w:rsidR="00DF692D" w:rsidRPr="00AE7E23" w:rsidRDefault="00DF692D" w:rsidP="009E2AB2">
                  <w:pPr>
                    <w:jc w:val="center"/>
                    <w:rPr>
                      <w:sz w:val="16"/>
                      <w:szCs w:val="16"/>
                      <w:lang w:val="en-GB"/>
                    </w:rPr>
                  </w:pPr>
                  <w:r w:rsidRPr="00AE7E23">
                    <w:rPr>
                      <w:sz w:val="16"/>
                      <w:szCs w:val="16"/>
                      <w:lang w:val="en-GB"/>
                    </w:rPr>
                    <w:t>Liquefaction Technology</w:t>
                  </w:r>
                </w:p>
              </w:tc>
            </w:tr>
            <w:tr w:rsidR="00901311" w:rsidRPr="00AE7E23" w:rsidTr="00A83DA6">
              <w:trPr>
                <w:cnfStyle w:val="000000100000"/>
                <w:trHeight w:val="246"/>
              </w:trPr>
              <w:tc>
                <w:tcPr>
                  <w:tcW w:w="1160" w:type="dxa"/>
                  <w:vAlign w:val="center"/>
                </w:tcPr>
                <w:p w:rsidR="00901311" w:rsidRPr="00AE7E23" w:rsidRDefault="00901311" w:rsidP="00901311">
                  <w:pPr>
                    <w:rPr>
                      <w:rFonts w:cs="Arial"/>
                      <w:sz w:val="16"/>
                      <w:szCs w:val="16"/>
                    </w:rPr>
                  </w:pPr>
                  <w:r w:rsidRPr="00AE7E23">
                    <w:rPr>
                      <w:rFonts w:cs="Arial"/>
                      <w:sz w:val="16"/>
                      <w:szCs w:val="16"/>
                    </w:rPr>
                    <w:t>US</w:t>
                  </w:r>
                </w:p>
              </w:tc>
              <w:tc>
                <w:tcPr>
                  <w:tcW w:w="1800" w:type="dxa"/>
                  <w:vAlign w:val="center"/>
                </w:tcPr>
                <w:p w:rsidR="00901311" w:rsidRPr="00AE7E23" w:rsidRDefault="00901311" w:rsidP="00901311">
                  <w:pPr>
                    <w:rPr>
                      <w:rFonts w:cs="Arial"/>
                      <w:color w:val="141313"/>
                      <w:sz w:val="16"/>
                      <w:szCs w:val="16"/>
                    </w:rPr>
                  </w:pPr>
                  <w:r w:rsidRPr="00AE7E23">
                    <w:rPr>
                      <w:rFonts w:cs="Arial"/>
                      <w:color w:val="141313"/>
                      <w:sz w:val="16"/>
                      <w:szCs w:val="16"/>
                    </w:rPr>
                    <w:t>Kenai LNG*</w:t>
                  </w:r>
                </w:p>
              </w:tc>
              <w:tc>
                <w:tcPr>
                  <w:tcW w:w="63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1969</w:t>
                  </w:r>
                </w:p>
              </w:tc>
              <w:tc>
                <w:tcPr>
                  <w:tcW w:w="108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1.5</w:t>
                  </w:r>
                </w:p>
              </w:tc>
              <w:tc>
                <w:tcPr>
                  <w:tcW w:w="3420" w:type="dxa"/>
                  <w:vAlign w:val="center"/>
                </w:tcPr>
                <w:p w:rsidR="00901311" w:rsidRDefault="00901311" w:rsidP="00901311">
                  <w:pPr>
                    <w:rPr>
                      <w:rFonts w:cs="Arial"/>
                      <w:color w:val="141313"/>
                      <w:sz w:val="16"/>
                      <w:szCs w:val="16"/>
                      <w:lang w:val="es-ES"/>
                    </w:rPr>
                  </w:pPr>
                  <w:r w:rsidRPr="00157B9F">
                    <w:rPr>
                      <w:rFonts w:cs="Arial"/>
                      <w:color w:val="141313"/>
                      <w:sz w:val="16"/>
                      <w:szCs w:val="16"/>
                    </w:rPr>
                    <w:t>ConocoPhillips</w:t>
                  </w:r>
                </w:p>
              </w:tc>
              <w:tc>
                <w:tcPr>
                  <w:tcW w:w="1980" w:type="dxa"/>
                  <w:vAlign w:val="center"/>
                </w:tcPr>
                <w:p w:rsidR="00901311" w:rsidRPr="00AE7E23" w:rsidRDefault="00901311" w:rsidP="00901311">
                  <w:pPr>
                    <w:jc w:val="center"/>
                    <w:rPr>
                      <w:rFonts w:cs="Arial"/>
                      <w:sz w:val="16"/>
                      <w:szCs w:val="16"/>
                      <w:lang w:val="en-GB" w:eastAsia="en-US"/>
                    </w:rPr>
                  </w:pPr>
                  <w:r w:rsidRPr="00AE7E23">
                    <w:rPr>
                      <w:rFonts w:cs="Arial"/>
                      <w:sz w:val="16"/>
                      <w:szCs w:val="16"/>
                      <w:lang w:val="en-GB" w:eastAsia="en-US"/>
                    </w:rPr>
                    <w:t>ConocoPhillips Optimized Cascade®</w:t>
                  </w:r>
                </w:p>
              </w:tc>
            </w:tr>
            <w:tr w:rsidR="00901311" w:rsidRPr="00AE7E23" w:rsidTr="00A83DA6">
              <w:trPr>
                <w:cnfStyle w:val="000000010000"/>
                <w:trHeight w:val="246"/>
              </w:trPr>
              <w:tc>
                <w:tcPr>
                  <w:tcW w:w="1160" w:type="dxa"/>
                  <w:vAlign w:val="center"/>
                </w:tcPr>
                <w:p w:rsidR="00901311" w:rsidRPr="00AE7E23" w:rsidRDefault="00901311" w:rsidP="00901311">
                  <w:pPr>
                    <w:rPr>
                      <w:rFonts w:cs="Arial"/>
                      <w:sz w:val="16"/>
                      <w:szCs w:val="16"/>
                    </w:rPr>
                  </w:pPr>
                  <w:r w:rsidRPr="00AE7E23">
                    <w:rPr>
                      <w:rFonts w:cs="Arial"/>
                      <w:sz w:val="16"/>
                      <w:szCs w:val="16"/>
                    </w:rPr>
                    <w:t>Algeria</w:t>
                  </w:r>
                </w:p>
              </w:tc>
              <w:tc>
                <w:tcPr>
                  <w:tcW w:w="1800" w:type="dxa"/>
                  <w:vAlign w:val="center"/>
                </w:tcPr>
                <w:p w:rsidR="00901311" w:rsidRPr="00AE7E23" w:rsidRDefault="00901311" w:rsidP="00901311">
                  <w:pPr>
                    <w:rPr>
                      <w:rFonts w:cs="Arial"/>
                      <w:color w:val="141313"/>
                      <w:sz w:val="16"/>
                      <w:szCs w:val="16"/>
                    </w:rPr>
                  </w:pPr>
                  <w:r w:rsidRPr="00AE7E23">
                    <w:rPr>
                      <w:rFonts w:cs="Arial"/>
                      <w:color w:val="141313"/>
                      <w:sz w:val="16"/>
                      <w:szCs w:val="16"/>
                    </w:rPr>
                    <w:t>Skikda - GL1K (T1-4)</w:t>
                  </w:r>
                </w:p>
              </w:tc>
              <w:tc>
                <w:tcPr>
                  <w:tcW w:w="63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1972</w:t>
                  </w:r>
                </w:p>
              </w:tc>
              <w:tc>
                <w:tcPr>
                  <w:tcW w:w="108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1</w:t>
                  </w:r>
                </w:p>
              </w:tc>
              <w:tc>
                <w:tcPr>
                  <w:tcW w:w="3420" w:type="dxa"/>
                  <w:vAlign w:val="center"/>
                </w:tcPr>
                <w:p w:rsidR="00901311" w:rsidRDefault="00A6299E" w:rsidP="00901311">
                  <w:pPr>
                    <w:rPr>
                      <w:rFonts w:cs="Arial"/>
                      <w:color w:val="141313"/>
                      <w:sz w:val="16"/>
                      <w:szCs w:val="16"/>
                      <w:lang w:val="es-ES"/>
                    </w:rPr>
                  </w:pPr>
                  <w:r w:rsidRPr="0082695E">
                    <w:rPr>
                      <w:rFonts w:cs="Arial"/>
                      <w:color w:val="141313"/>
                      <w:sz w:val="16"/>
                      <w:szCs w:val="16"/>
                      <w:lang w:val="en-GB"/>
                    </w:rPr>
                    <w:t>Sonatrach</w:t>
                  </w:r>
                </w:p>
              </w:tc>
              <w:tc>
                <w:tcPr>
                  <w:tcW w:w="1980" w:type="dxa"/>
                  <w:vAlign w:val="center"/>
                </w:tcPr>
                <w:p w:rsidR="00901311" w:rsidRPr="00AE7E23" w:rsidRDefault="00901311" w:rsidP="00901311">
                  <w:pPr>
                    <w:jc w:val="center"/>
                    <w:rPr>
                      <w:rFonts w:cs="Arial"/>
                      <w:sz w:val="16"/>
                      <w:szCs w:val="16"/>
                      <w:lang w:val="en-GB" w:eastAsia="en-US"/>
                    </w:rPr>
                  </w:pPr>
                  <w:r>
                    <w:rPr>
                      <w:rFonts w:cs="Arial"/>
                      <w:sz w:val="16"/>
                      <w:szCs w:val="16"/>
                      <w:lang w:val="en-GB" w:eastAsia="en-US"/>
                    </w:rPr>
                    <w:t>Teal (T1-3), PRICO (T4)</w:t>
                  </w:r>
                </w:p>
              </w:tc>
            </w:tr>
            <w:tr w:rsidR="00901311" w:rsidRPr="00AE7E23" w:rsidTr="00A83DA6">
              <w:trPr>
                <w:cnfStyle w:val="000000100000"/>
                <w:trHeight w:val="246"/>
              </w:trPr>
              <w:tc>
                <w:tcPr>
                  <w:tcW w:w="1160" w:type="dxa"/>
                  <w:vAlign w:val="center"/>
                </w:tcPr>
                <w:p w:rsidR="00901311" w:rsidRPr="00AE7E23" w:rsidRDefault="00901311" w:rsidP="00901311">
                  <w:pPr>
                    <w:rPr>
                      <w:rFonts w:cs="Arial"/>
                      <w:sz w:val="16"/>
                      <w:szCs w:val="16"/>
                    </w:rPr>
                  </w:pPr>
                  <w:r w:rsidRPr="00AE7E23">
                    <w:rPr>
                      <w:rFonts w:cs="Arial"/>
                      <w:sz w:val="16"/>
                      <w:szCs w:val="16"/>
                    </w:rPr>
                    <w:t>Brunei</w:t>
                  </w:r>
                </w:p>
              </w:tc>
              <w:tc>
                <w:tcPr>
                  <w:tcW w:w="1800" w:type="dxa"/>
                  <w:vAlign w:val="center"/>
                </w:tcPr>
                <w:p w:rsidR="00901311" w:rsidRPr="00AE7E23" w:rsidRDefault="00901311" w:rsidP="00901311">
                  <w:pPr>
                    <w:rPr>
                      <w:rFonts w:cs="Arial"/>
                      <w:color w:val="141313"/>
                      <w:sz w:val="16"/>
                      <w:szCs w:val="16"/>
                    </w:rPr>
                  </w:pPr>
                  <w:r w:rsidRPr="00AE7E23">
                    <w:rPr>
                      <w:rFonts w:cs="Arial"/>
                      <w:color w:val="141313"/>
                      <w:sz w:val="16"/>
                      <w:szCs w:val="16"/>
                    </w:rPr>
                    <w:t>Brunei LNG T1-5</w:t>
                  </w:r>
                </w:p>
              </w:tc>
              <w:tc>
                <w:tcPr>
                  <w:tcW w:w="63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1972</w:t>
                  </w:r>
                </w:p>
              </w:tc>
              <w:tc>
                <w:tcPr>
                  <w:tcW w:w="108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7.2</w:t>
                  </w:r>
                </w:p>
              </w:tc>
              <w:tc>
                <w:tcPr>
                  <w:tcW w:w="3420" w:type="dxa"/>
                  <w:vAlign w:val="center"/>
                </w:tcPr>
                <w:p w:rsidR="00901311" w:rsidRDefault="00157B9F" w:rsidP="00901311">
                  <w:pPr>
                    <w:rPr>
                      <w:rFonts w:cs="Arial"/>
                      <w:color w:val="141313"/>
                      <w:sz w:val="16"/>
                      <w:szCs w:val="16"/>
                      <w:lang w:val="es-ES"/>
                    </w:rPr>
                  </w:pPr>
                  <w:proofErr w:type="spellStart"/>
                  <w:r>
                    <w:rPr>
                      <w:rFonts w:cs="Arial"/>
                      <w:color w:val="141313"/>
                      <w:sz w:val="16"/>
                      <w:szCs w:val="16"/>
                      <w:lang w:val="es-ES"/>
                    </w:rPr>
                    <w:t>Government</w:t>
                  </w:r>
                  <w:proofErr w:type="spellEnd"/>
                  <w:r>
                    <w:rPr>
                      <w:rFonts w:cs="Arial"/>
                      <w:color w:val="141313"/>
                      <w:sz w:val="16"/>
                      <w:szCs w:val="16"/>
                      <w:lang w:val="es-ES"/>
                    </w:rPr>
                    <w:t xml:space="preserve"> of Brunei, Shell, Mitsubishi</w:t>
                  </w:r>
                </w:p>
              </w:tc>
              <w:tc>
                <w:tcPr>
                  <w:tcW w:w="1980" w:type="dxa"/>
                  <w:vAlign w:val="center"/>
                </w:tcPr>
                <w:p w:rsidR="00901311" w:rsidRPr="00AE7E23" w:rsidRDefault="00157B9F" w:rsidP="00901311">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901311" w:rsidRPr="00AE7E23" w:rsidTr="00A83DA6">
              <w:trPr>
                <w:cnfStyle w:val="000000010000"/>
                <w:trHeight w:val="246"/>
              </w:trPr>
              <w:tc>
                <w:tcPr>
                  <w:tcW w:w="1160" w:type="dxa"/>
                  <w:vAlign w:val="center"/>
                </w:tcPr>
                <w:p w:rsidR="00901311" w:rsidRPr="00AE7E23" w:rsidRDefault="00901311" w:rsidP="00901311">
                  <w:pPr>
                    <w:rPr>
                      <w:rFonts w:cs="Arial"/>
                      <w:sz w:val="16"/>
                      <w:szCs w:val="16"/>
                    </w:rPr>
                  </w:pPr>
                  <w:r w:rsidRPr="00AE7E23">
                    <w:rPr>
                      <w:rFonts w:cs="Arial"/>
                      <w:sz w:val="16"/>
                      <w:szCs w:val="16"/>
                    </w:rPr>
                    <w:t>Indonesia</w:t>
                  </w:r>
                </w:p>
              </w:tc>
              <w:tc>
                <w:tcPr>
                  <w:tcW w:w="1800" w:type="dxa"/>
                  <w:vAlign w:val="center"/>
                </w:tcPr>
                <w:p w:rsidR="00901311" w:rsidRPr="00AE7E23" w:rsidRDefault="00901311" w:rsidP="00901311">
                  <w:pPr>
                    <w:rPr>
                      <w:rFonts w:cs="Arial"/>
                      <w:color w:val="141313"/>
                      <w:sz w:val="16"/>
                      <w:szCs w:val="16"/>
                    </w:rPr>
                  </w:pPr>
                  <w:proofErr w:type="spellStart"/>
                  <w:r w:rsidRPr="00AE7E23">
                    <w:rPr>
                      <w:rFonts w:cs="Arial"/>
                      <w:color w:val="141313"/>
                      <w:sz w:val="16"/>
                      <w:szCs w:val="16"/>
                    </w:rPr>
                    <w:t>Bontang</w:t>
                  </w:r>
                  <w:proofErr w:type="spellEnd"/>
                  <w:r w:rsidRPr="00AE7E23">
                    <w:rPr>
                      <w:rFonts w:cs="Arial"/>
                      <w:color w:val="141313"/>
                      <w:sz w:val="16"/>
                      <w:szCs w:val="16"/>
                    </w:rPr>
                    <w:t xml:space="preserve"> LNG T1-2</w:t>
                  </w:r>
                </w:p>
              </w:tc>
              <w:tc>
                <w:tcPr>
                  <w:tcW w:w="63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1977</w:t>
                  </w:r>
                </w:p>
              </w:tc>
              <w:tc>
                <w:tcPr>
                  <w:tcW w:w="1080" w:type="dxa"/>
                  <w:vAlign w:val="center"/>
                </w:tcPr>
                <w:p w:rsidR="00901311" w:rsidRPr="00AE7E23" w:rsidRDefault="00901311" w:rsidP="00901311">
                  <w:pPr>
                    <w:jc w:val="center"/>
                    <w:rPr>
                      <w:rFonts w:cs="Arial"/>
                      <w:color w:val="141313"/>
                      <w:sz w:val="16"/>
                      <w:szCs w:val="16"/>
                    </w:rPr>
                  </w:pPr>
                  <w:r w:rsidRPr="00AE7E23">
                    <w:rPr>
                      <w:rFonts w:cs="Arial"/>
                      <w:color w:val="141313"/>
                      <w:sz w:val="16"/>
                      <w:szCs w:val="16"/>
                    </w:rPr>
                    <w:t>5.4</w:t>
                  </w:r>
                </w:p>
              </w:tc>
              <w:tc>
                <w:tcPr>
                  <w:tcW w:w="3420" w:type="dxa"/>
                  <w:vAlign w:val="center"/>
                </w:tcPr>
                <w:p w:rsidR="00901311" w:rsidRDefault="00157B9F" w:rsidP="00901311">
                  <w:pPr>
                    <w:rPr>
                      <w:rFonts w:cs="Arial"/>
                      <w:color w:val="141313"/>
                      <w:sz w:val="16"/>
                      <w:szCs w:val="16"/>
                      <w:lang w:val="es-ES"/>
                    </w:rPr>
                  </w:pPr>
                  <w:r>
                    <w:rPr>
                      <w:rFonts w:cs="Arial"/>
                      <w:color w:val="141313"/>
                      <w:sz w:val="16"/>
                      <w:szCs w:val="16"/>
                      <w:lang w:val="es-ES"/>
                    </w:rPr>
                    <w:t>Pertamina</w:t>
                  </w:r>
                </w:p>
              </w:tc>
              <w:tc>
                <w:tcPr>
                  <w:tcW w:w="1980" w:type="dxa"/>
                  <w:vAlign w:val="center"/>
                </w:tcPr>
                <w:p w:rsidR="00901311" w:rsidRPr="00AE7E23" w:rsidRDefault="00157B9F" w:rsidP="00901311">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157B9F" w:rsidRPr="00AE7E23" w:rsidTr="00A83DA6">
              <w:trPr>
                <w:cnfStyle w:val="000000100000"/>
                <w:trHeight w:val="246"/>
              </w:trPr>
              <w:tc>
                <w:tcPr>
                  <w:tcW w:w="1160" w:type="dxa"/>
                  <w:vAlign w:val="center"/>
                </w:tcPr>
                <w:p w:rsidR="00157B9F" w:rsidRPr="00AE7E23" w:rsidRDefault="00157B9F" w:rsidP="00157B9F">
                  <w:pPr>
                    <w:rPr>
                      <w:rFonts w:cs="Arial"/>
                      <w:sz w:val="16"/>
                      <w:szCs w:val="16"/>
                    </w:rPr>
                  </w:pPr>
                  <w:r w:rsidRPr="00AE7E23">
                    <w:rPr>
                      <w:rFonts w:cs="Arial"/>
                      <w:sz w:val="16"/>
                      <w:szCs w:val="16"/>
                    </w:rPr>
                    <w:t>United Arab Emirates</w:t>
                  </w:r>
                </w:p>
              </w:tc>
              <w:tc>
                <w:tcPr>
                  <w:tcW w:w="1800" w:type="dxa"/>
                  <w:vAlign w:val="center"/>
                </w:tcPr>
                <w:p w:rsidR="00157B9F" w:rsidRPr="00AE7E23" w:rsidRDefault="00157B9F" w:rsidP="00157B9F">
                  <w:pPr>
                    <w:rPr>
                      <w:rFonts w:cs="Arial"/>
                      <w:color w:val="141313"/>
                      <w:sz w:val="16"/>
                      <w:szCs w:val="16"/>
                    </w:rPr>
                  </w:pPr>
                  <w:r w:rsidRPr="00AE7E23">
                    <w:rPr>
                      <w:rFonts w:cs="Arial"/>
                      <w:color w:val="141313"/>
                      <w:sz w:val="16"/>
                      <w:szCs w:val="16"/>
                    </w:rPr>
                    <w:t>ADGAS LNG T1-2</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1977</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2.6</w:t>
                  </w:r>
                </w:p>
              </w:tc>
              <w:tc>
                <w:tcPr>
                  <w:tcW w:w="3420" w:type="dxa"/>
                  <w:vAlign w:val="center"/>
                </w:tcPr>
                <w:p w:rsidR="00157B9F" w:rsidRDefault="00157B9F" w:rsidP="00157B9F">
                  <w:pPr>
                    <w:rPr>
                      <w:rFonts w:cs="Arial"/>
                      <w:color w:val="141313"/>
                      <w:sz w:val="16"/>
                      <w:szCs w:val="16"/>
                      <w:lang w:val="es-ES"/>
                    </w:rPr>
                  </w:pPr>
                  <w:r>
                    <w:rPr>
                      <w:rFonts w:cs="Arial"/>
                      <w:color w:val="141313"/>
                      <w:sz w:val="16"/>
                      <w:szCs w:val="16"/>
                      <w:lang w:val="es-ES"/>
                    </w:rPr>
                    <w:t xml:space="preserve">ADNOC, </w:t>
                  </w:r>
                  <w:proofErr w:type="spellStart"/>
                  <w:r>
                    <w:rPr>
                      <w:rFonts w:cs="Arial"/>
                      <w:color w:val="141313"/>
                      <w:sz w:val="16"/>
                      <w:szCs w:val="16"/>
                      <w:lang w:val="es-ES"/>
                    </w:rPr>
                    <w:t>Mitsui</w:t>
                  </w:r>
                  <w:proofErr w:type="spellEnd"/>
                  <w:r>
                    <w:rPr>
                      <w:rFonts w:cs="Arial"/>
                      <w:color w:val="141313"/>
                      <w:sz w:val="16"/>
                      <w:szCs w:val="16"/>
                      <w:lang w:val="es-ES"/>
                    </w:rPr>
                    <w:t>, BP, TOTAL</w:t>
                  </w:r>
                </w:p>
              </w:tc>
              <w:tc>
                <w:tcPr>
                  <w:tcW w:w="1980" w:type="dxa"/>
                  <w:vAlign w:val="center"/>
                </w:tcPr>
                <w:p w:rsidR="00157B9F" w:rsidRPr="00AE7E23" w:rsidRDefault="00157B9F" w:rsidP="00157B9F">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157B9F" w:rsidRPr="00AE7E23" w:rsidTr="00A83DA6">
              <w:trPr>
                <w:cnfStyle w:val="000000010000"/>
                <w:trHeight w:val="246"/>
              </w:trPr>
              <w:tc>
                <w:tcPr>
                  <w:tcW w:w="1160" w:type="dxa"/>
                  <w:vAlign w:val="center"/>
                </w:tcPr>
                <w:p w:rsidR="00157B9F" w:rsidRPr="00AE7E23" w:rsidRDefault="00157B9F" w:rsidP="00157B9F">
                  <w:pPr>
                    <w:rPr>
                      <w:rFonts w:cs="Arial"/>
                      <w:sz w:val="16"/>
                      <w:szCs w:val="16"/>
                    </w:rPr>
                  </w:pPr>
                  <w:r w:rsidRPr="00AE7E23">
                    <w:rPr>
                      <w:rFonts w:cs="Arial"/>
                      <w:sz w:val="16"/>
                      <w:szCs w:val="16"/>
                    </w:rPr>
                    <w:t>Algeria</w:t>
                  </w:r>
                </w:p>
              </w:tc>
              <w:tc>
                <w:tcPr>
                  <w:tcW w:w="1800" w:type="dxa"/>
                  <w:vAlign w:val="center"/>
                </w:tcPr>
                <w:p w:rsidR="00157B9F" w:rsidRPr="00AE7E23" w:rsidRDefault="00157B9F" w:rsidP="00157B9F">
                  <w:pPr>
                    <w:rPr>
                      <w:rFonts w:cs="Arial"/>
                      <w:color w:val="141313"/>
                      <w:sz w:val="16"/>
                      <w:szCs w:val="16"/>
                    </w:rPr>
                  </w:pPr>
                  <w:r w:rsidRPr="00AE7E23">
                    <w:rPr>
                      <w:rFonts w:cs="Arial"/>
                      <w:color w:val="141313"/>
                      <w:sz w:val="16"/>
                      <w:szCs w:val="16"/>
                    </w:rPr>
                    <w:t>Arzew - GL1Z (T1-6)</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1978</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6.6</w:t>
                  </w:r>
                </w:p>
              </w:tc>
              <w:tc>
                <w:tcPr>
                  <w:tcW w:w="3420" w:type="dxa"/>
                  <w:vAlign w:val="center"/>
                </w:tcPr>
                <w:p w:rsidR="00157B9F" w:rsidRDefault="00157B9F" w:rsidP="00157B9F">
                  <w:pPr>
                    <w:rPr>
                      <w:rFonts w:cs="Arial"/>
                      <w:color w:val="141313"/>
                      <w:sz w:val="16"/>
                      <w:szCs w:val="16"/>
                      <w:lang w:val="es-ES"/>
                    </w:rPr>
                  </w:pPr>
                  <w:r w:rsidRPr="0082695E">
                    <w:rPr>
                      <w:rFonts w:cs="Arial"/>
                      <w:color w:val="141313"/>
                      <w:sz w:val="16"/>
                      <w:szCs w:val="16"/>
                      <w:lang w:val="en-GB"/>
                    </w:rPr>
                    <w:t>Sonatrach</w:t>
                  </w:r>
                </w:p>
              </w:tc>
              <w:tc>
                <w:tcPr>
                  <w:tcW w:w="1980" w:type="dxa"/>
                  <w:vAlign w:val="center"/>
                </w:tcPr>
                <w:p w:rsidR="00157B9F" w:rsidRPr="00AE7E23" w:rsidRDefault="00157B9F" w:rsidP="00157B9F">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157B9F" w:rsidRPr="00AE7E23" w:rsidTr="00A83DA6">
              <w:trPr>
                <w:cnfStyle w:val="000000100000"/>
                <w:trHeight w:val="246"/>
              </w:trPr>
              <w:tc>
                <w:tcPr>
                  <w:tcW w:w="1160" w:type="dxa"/>
                  <w:vAlign w:val="center"/>
                </w:tcPr>
                <w:p w:rsidR="00157B9F" w:rsidRPr="00AE7E23" w:rsidRDefault="00157B9F" w:rsidP="00157B9F">
                  <w:pPr>
                    <w:rPr>
                      <w:rFonts w:cs="Arial"/>
                      <w:sz w:val="16"/>
                      <w:szCs w:val="16"/>
                    </w:rPr>
                  </w:pPr>
                  <w:r w:rsidRPr="00AE7E23">
                    <w:rPr>
                      <w:rFonts w:cs="Arial"/>
                      <w:sz w:val="16"/>
                      <w:szCs w:val="16"/>
                    </w:rPr>
                    <w:t>Indonesia</w:t>
                  </w:r>
                </w:p>
              </w:tc>
              <w:tc>
                <w:tcPr>
                  <w:tcW w:w="1800" w:type="dxa"/>
                  <w:vAlign w:val="center"/>
                </w:tcPr>
                <w:p w:rsidR="00157B9F" w:rsidRPr="00AE7E23" w:rsidRDefault="00157B9F" w:rsidP="00157B9F">
                  <w:pPr>
                    <w:rPr>
                      <w:rFonts w:cs="Arial"/>
                      <w:color w:val="141313"/>
                      <w:sz w:val="16"/>
                      <w:szCs w:val="16"/>
                    </w:rPr>
                  </w:pPr>
                  <w:r w:rsidRPr="00AE7E23">
                    <w:rPr>
                      <w:rFonts w:cs="Arial"/>
                      <w:color w:val="141313"/>
                      <w:sz w:val="16"/>
                      <w:szCs w:val="16"/>
                    </w:rPr>
                    <w:t>Arun LNG T1</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1978</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1.65</w:t>
                  </w:r>
                </w:p>
              </w:tc>
              <w:tc>
                <w:tcPr>
                  <w:tcW w:w="3420" w:type="dxa"/>
                  <w:vAlign w:val="center"/>
                </w:tcPr>
                <w:p w:rsidR="00157B9F" w:rsidRDefault="00157B9F" w:rsidP="00157B9F">
                  <w:pPr>
                    <w:rPr>
                      <w:rFonts w:cs="Arial"/>
                      <w:color w:val="141313"/>
                      <w:sz w:val="16"/>
                      <w:szCs w:val="16"/>
                      <w:lang w:val="es-ES"/>
                    </w:rPr>
                  </w:pPr>
                  <w:r>
                    <w:rPr>
                      <w:rFonts w:cs="Arial"/>
                      <w:color w:val="141313"/>
                      <w:sz w:val="16"/>
                      <w:szCs w:val="16"/>
                      <w:lang w:val="es-ES"/>
                    </w:rPr>
                    <w:t>Pertamina</w:t>
                  </w:r>
                </w:p>
              </w:tc>
              <w:tc>
                <w:tcPr>
                  <w:tcW w:w="1980" w:type="dxa"/>
                  <w:vAlign w:val="center"/>
                </w:tcPr>
                <w:p w:rsidR="00157B9F" w:rsidRPr="00AE7E23" w:rsidRDefault="00157B9F" w:rsidP="00157B9F">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157B9F" w:rsidRPr="00AE7E23" w:rsidTr="00A83DA6">
              <w:trPr>
                <w:cnfStyle w:val="000000010000"/>
                <w:trHeight w:val="246"/>
              </w:trPr>
              <w:tc>
                <w:tcPr>
                  <w:tcW w:w="1160" w:type="dxa"/>
                  <w:vAlign w:val="center"/>
                </w:tcPr>
                <w:p w:rsidR="00157B9F" w:rsidRPr="00AE7E23" w:rsidRDefault="00157B9F" w:rsidP="00157B9F">
                  <w:pPr>
                    <w:rPr>
                      <w:rFonts w:cs="Arial"/>
                      <w:sz w:val="16"/>
                      <w:szCs w:val="16"/>
                    </w:rPr>
                  </w:pPr>
                  <w:r w:rsidRPr="00AE7E23">
                    <w:rPr>
                      <w:rFonts w:cs="Arial"/>
                      <w:sz w:val="16"/>
                      <w:szCs w:val="16"/>
                    </w:rPr>
                    <w:t>Algeria</w:t>
                  </w:r>
                </w:p>
              </w:tc>
              <w:tc>
                <w:tcPr>
                  <w:tcW w:w="1800" w:type="dxa"/>
                  <w:vAlign w:val="center"/>
                </w:tcPr>
                <w:p w:rsidR="00157B9F" w:rsidRPr="00AE7E23" w:rsidRDefault="00157B9F" w:rsidP="00157B9F">
                  <w:pPr>
                    <w:rPr>
                      <w:rFonts w:cs="Arial"/>
                      <w:color w:val="141313"/>
                      <w:sz w:val="16"/>
                      <w:szCs w:val="16"/>
                    </w:rPr>
                  </w:pPr>
                  <w:r w:rsidRPr="00AE7E23">
                    <w:rPr>
                      <w:rFonts w:cs="Arial"/>
                      <w:color w:val="141313"/>
                      <w:sz w:val="16"/>
                      <w:szCs w:val="16"/>
                    </w:rPr>
                    <w:t>Arzew - GL2Z (T1-6)</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1981</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8.2</w:t>
                  </w:r>
                </w:p>
              </w:tc>
              <w:tc>
                <w:tcPr>
                  <w:tcW w:w="3420" w:type="dxa"/>
                  <w:vAlign w:val="center"/>
                </w:tcPr>
                <w:p w:rsidR="00157B9F" w:rsidRDefault="00157B9F" w:rsidP="00157B9F">
                  <w:pPr>
                    <w:rPr>
                      <w:rFonts w:cs="Arial"/>
                      <w:color w:val="141313"/>
                      <w:sz w:val="16"/>
                      <w:szCs w:val="16"/>
                      <w:lang w:val="es-ES"/>
                    </w:rPr>
                  </w:pPr>
                  <w:r w:rsidRPr="0082695E">
                    <w:rPr>
                      <w:rFonts w:cs="Arial"/>
                      <w:color w:val="141313"/>
                      <w:sz w:val="16"/>
                      <w:szCs w:val="16"/>
                      <w:lang w:val="en-GB"/>
                    </w:rPr>
                    <w:t>Sonatrach</w:t>
                  </w:r>
                </w:p>
              </w:tc>
              <w:tc>
                <w:tcPr>
                  <w:tcW w:w="1980" w:type="dxa"/>
                  <w:vAlign w:val="center"/>
                </w:tcPr>
                <w:p w:rsidR="00157B9F" w:rsidRPr="00AE7E23" w:rsidRDefault="00157B9F" w:rsidP="00157B9F">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157B9F" w:rsidRPr="00AE7E23" w:rsidTr="00A83DA6">
              <w:trPr>
                <w:cnfStyle w:val="000000100000"/>
                <w:trHeight w:val="246"/>
              </w:trPr>
              <w:tc>
                <w:tcPr>
                  <w:tcW w:w="1160" w:type="dxa"/>
                  <w:vAlign w:val="center"/>
                </w:tcPr>
                <w:p w:rsidR="00157B9F" w:rsidRPr="00AE7E23" w:rsidRDefault="00157B9F" w:rsidP="00157B9F">
                  <w:pPr>
                    <w:rPr>
                      <w:rFonts w:cs="Arial"/>
                      <w:sz w:val="16"/>
                      <w:szCs w:val="16"/>
                    </w:rPr>
                  </w:pPr>
                  <w:r w:rsidRPr="00AE7E23">
                    <w:rPr>
                      <w:rFonts w:cs="Arial"/>
                      <w:sz w:val="16"/>
                      <w:szCs w:val="16"/>
                    </w:rPr>
                    <w:t>Algeria</w:t>
                  </w:r>
                </w:p>
              </w:tc>
              <w:tc>
                <w:tcPr>
                  <w:tcW w:w="1800" w:type="dxa"/>
                  <w:vAlign w:val="center"/>
                </w:tcPr>
                <w:p w:rsidR="00157B9F" w:rsidRPr="00AE7E23" w:rsidRDefault="00157B9F" w:rsidP="00157B9F">
                  <w:pPr>
                    <w:rPr>
                      <w:rFonts w:cs="Arial"/>
                      <w:color w:val="141313"/>
                      <w:sz w:val="16"/>
                      <w:szCs w:val="16"/>
                    </w:rPr>
                  </w:pPr>
                  <w:r w:rsidRPr="00AE7E23">
                    <w:rPr>
                      <w:rFonts w:cs="Arial"/>
                      <w:color w:val="141313"/>
                      <w:sz w:val="16"/>
                      <w:szCs w:val="16"/>
                    </w:rPr>
                    <w:t>Skikda - GL2K (T5-6)</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1981</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2.2</w:t>
                  </w:r>
                </w:p>
              </w:tc>
              <w:tc>
                <w:tcPr>
                  <w:tcW w:w="3420" w:type="dxa"/>
                  <w:vAlign w:val="center"/>
                </w:tcPr>
                <w:p w:rsidR="00157B9F" w:rsidRDefault="00157B9F" w:rsidP="00157B9F">
                  <w:pPr>
                    <w:rPr>
                      <w:rFonts w:cs="Arial"/>
                      <w:color w:val="141313"/>
                      <w:sz w:val="16"/>
                      <w:szCs w:val="16"/>
                      <w:lang w:val="es-ES"/>
                    </w:rPr>
                  </w:pPr>
                  <w:r w:rsidRPr="0082695E">
                    <w:rPr>
                      <w:rFonts w:cs="Arial"/>
                      <w:color w:val="141313"/>
                      <w:sz w:val="16"/>
                      <w:szCs w:val="16"/>
                      <w:lang w:val="en-GB"/>
                    </w:rPr>
                    <w:t>Sonatrach</w:t>
                  </w:r>
                </w:p>
              </w:tc>
              <w:tc>
                <w:tcPr>
                  <w:tcW w:w="1980" w:type="dxa"/>
                  <w:vAlign w:val="center"/>
                </w:tcPr>
                <w:p w:rsidR="00157B9F" w:rsidRPr="00AE7E23" w:rsidRDefault="00157B9F" w:rsidP="00157B9F">
                  <w:pPr>
                    <w:jc w:val="center"/>
                    <w:rPr>
                      <w:rFonts w:cs="Arial"/>
                      <w:sz w:val="16"/>
                      <w:szCs w:val="16"/>
                      <w:lang w:val="en-GB" w:eastAsia="en-US"/>
                    </w:rPr>
                  </w:pPr>
                  <w:r>
                    <w:rPr>
                      <w:rFonts w:cs="Arial"/>
                      <w:sz w:val="16"/>
                      <w:szCs w:val="16"/>
                      <w:lang w:val="en-GB" w:eastAsia="en-US"/>
                    </w:rPr>
                    <w:t>PRICO</w:t>
                  </w:r>
                </w:p>
              </w:tc>
            </w:tr>
            <w:tr w:rsidR="00157B9F" w:rsidRPr="00AE7E23" w:rsidTr="00A83DA6">
              <w:trPr>
                <w:cnfStyle w:val="000000010000"/>
                <w:trHeight w:val="246"/>
              </w:trPr>
              <w:tc>
                <w:tcPr>
                  <w:tcW w:w="1160" w:type="dxa"/>
                  <w:vAlign w:val="center"/>
                </w:tcPr>
                <w:p w:rsidR="00157B9F" w:rsidRPr="00AE7E23" w:rsidRDefault="00157B9F" w:rsidP="00157B9F">
                  <w:pPr>
                    <w:rPr>
                      <w:rFonts w:cs="Arial"/>
                      <w:sz w:val="16"/>
                      <w:szCs w:val="16"/>
                    </w:rPr>
                  </w:pPr>
                  <w:r w:rsidRPr="00AE7E23">
                    <w:rPr>
                      <w:rFonts w:cs="Arial"/>
                      <w:sz w:val="16"/>
                      <w:szCs w:val="16"/>
                    </w:rPr>
                    <w:t>Indonesia</w:t>
                  </w:r>
                </w:p>
              </w:tc>
              <w:tc>
                <w:tcPr>
                  <w:tcW w:w="1800" w:type="dxa"/>
                  <w:vAlign w:val="center"/>
                </w:tcPr>
                <w:p w:rsidR="00157B9F" w:rsidRPr="00AE7E23" w:rsidRDefault="00157B9F" w:rsidP="00157B9F">
                  <w:pPr>
                    <w:rPr>
                      <w:rFonts w:cs="Arial"/>
                      <w:color w:val="141313"/>
                      <w:sz w:val="16"/>
                      <w:szCs w:val="16"/>
                    </w:rPr>
                  </w:pPr>
                  <w:proofErr w:type="spellStart"/>
                  <w:r w:rsidRPr="00AE7E23">
                    <w:rPr>
                      <w:rFonts w:cs="Arial"/>
                      <w:color w:val="141313"/>
                      <w:sz w:val="16"/>
                      <w:szCs w:val="16"/>
                    </w:rPr>
                    <w:t>Bontang</w:t>
                  </w:r>
                  <w:proofErr w:type="spellEnd"/>
                  <w:r w:rsidRPr="00AE7E23">
                    <w:rPr>
                      <w:rFonts w:cs="Arial"/>
                      <w:color w:val="141313"/>
                      <w:sz w:val="16"/>
                      <w:szCs w:val="16"/>
                    </w:rPr>
                    <w:t xml:space="preserve"> LNG T3-4</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1983</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5.4</w:t>
                  </w:r>
                </w:p>
              </w:tc>
              <w:tc>
                <w:tcPr>
                  <w:tcW w:w="3420" w:type="dxa"/>
                  <w:vAlign w:val="center"/>
                </w:tcPr>
                <w:p w:rsidR="00157B9F" w:rsidRDefault="00157B9F" w:rsidP="00157B9F">
                  <w:pPr>
                    <w:rPr>
                      <w:rFonts w:cs="Arial"/>
                      <w:color w:val="141313"/>
                      <w:sz w:val="16"/>
                      <w:szCs w:val="16"/>
                      <w:lang w:val="es-ES"/>
                    </w:rPr>
                  </w:pPr>
                  <w:r>
                    <w:rPr>
                      <w:rFonts w:cs="Arial"/>
                      <w:color w:val="141313"/>
                      <w:sz w:val="16"/>
                      <w:szCs w:val="16"/>
                      <w:lang w:val="es-ES"/>
                    </w:rPr>
                    <w:t>Pertamina</w:t>
                  </w:r>
                </w:p>
              </w:tc>
              <w:tc>
                <w:tcPr>
                  <w:tcW w:w="1980" w:type="dxa"/>
                  <w:vAlign w:val="center"/>
                </w:tcPr>
                <w:p w:rsidR="00157B9F" w:rsidRPr="00AE7E23" w:rsidRDefault="00157B9F" w:rsidP="00157B9F">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157B9F" w:rsidRPr="00AE7E23" w:rsidTr="00A83DA6">
              <w:trPr>
                <w:cnfStyle w:val="000000100000"/>
                <w:trHeight w:val="246"/>
              </w:trPr>
              <w:tc>
                <w:tcPr>
                  <w:tcW w:w="1160" w:type="dxa"/>
                  <w:vAlign w:val="center"/>
                </w:tcPr>
                <w:p w:rsidR="00157B9F" w:rsidRPr="00AE7E23" w:rsidRDefault="00157B9F" w:rsidP="00157B9F">
                  <w:pPr>
                    <w:rPr>
                      <w:rFonts w:cs="Arial"/>
                      <w:color w:val="141313"/>
                      <w:sz w:val="16"/>
                      <w:szCs w:val="16"/>
                    </w:rPr>
                  </w:pPr>
                  <w:r w:rsidRPr="00AE7E23">
                    <w:rPr>
                      <w:rFonts w:cs="Arial"/>
                      <w:color w:val="141313"/>
                      <w:sz w:val="16"/>
                      <w:szCs w:val="16"/>
                    </w:rPr>
                    <w:t>Malaysia</w:t>
                  </w:r>
                </w:p>
              </w:tc>
              <w:tc>
                <w:tcPr>
                  <w:tcW w:w="1800" w:type="dxa"/>
                  <w:vAlign w:val="center"/>
                </w:tcPr>
                <w:p w:rsidR="00157B9F" w:rsidRPr="00AE7E23" w:rsidRDefault="00157B9F" w:rsidP="00157B9F">
                  <w:pPr>
                    <w:rPr>
                      <w:rFonts w:cs="Arial"/>
                      <w:color w:val="141313"/>
                      <w:sz w:val="16"/>
                      <w:szCs w:val="16"/>
                    </w:rPr>
                  </w:pPr>
                  <w:r w:rsidRPr="00AE7E23">
                    <w:rPr>
                      <w:rFonts w:cs="Arial"/>
                      <w:color w:val="141313"/>
                      <w:sz w:val="16"/>
                      <w:szCs w:val="16"/>
                    </w:rPr>
                    <w:t xml:space="preserve">MLNG </w:t>
                  </w:r>
                  <w:proofErr w:type="spellStart"/>
                  <w:r w:rsidRPr="00AE7E23">
                    <w:rPr>
                      <w:rFonts w:cs="Arial"/>
                      <w:color w:val="141313"/>
                      <w:sz w:val="16"/>
                      <w:szCs w:val="16"/>
                    </w:rPr>
                    <w:t>Satu</w:t>
                  </w:r>
                  <w:proofErr w:type="spellEnd"/>
                  <w:r w:rsidRPr="00AE7E23">
                    <w:rPr>
                      <w:rFonts w:cs="Arial"/>
                      <w:color w:val="141313"/>
                      <w:sz w:val="16"/>
                      <w:szCs w:val="16"/>
                    </w:rPr>
                    <w:t xml:space="preserve"> (T1-3)</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1983</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8.1</w:t>
                  </w:r>
                </w:p>
              </w:tc>
              <w:tc>
                <w:tcPr>
                  <w:tcW w:w="3420" w:type="dxa"/>
                  <w:vAlign w:val="center"/>
                </w:tcPr>
                <w:p w:rsidR="00157B9F" w:rsidRDefault="00157B9F" w:rsidP="00157B9F">
                  <w:pPr>
                    <w:rPr>
                      <w:rFonts w:cs="Arial"/>
                      <w:color w:val="141313"/>
                      <w:sz w:val="16"/>
                      <w:szCs w:val="16"/>
                      <w:lang w:val="es-ES"/>
                    </w:rPr>
                  </w:pPr>
                  <w:r>
                    <w:rPr>
                      <w:rFonts w:cs="Arial"/>
                      <w:color w:val="141313"/>
                      <w:sz w:val="16"/>
                      <w:szCs w:val="16"/>
                      <w:lang w:val="es-ES"/>
                    </w:rPr>
                    <w:t xml:space="preserve">PETRONAS, Mitsubishi, Sarawak </w:t>
                  </w:r>
                  <w:r w:rsidRPr="00157B9F">
                    <w:rPr>
                      <w:rFonts w:cs="Arial"/>
                      <w:color w:val="141313"/>
                      <w:sz w:val="16"/>
                      <w:szCs w:val="16"/>
                    </w:rPr>
                    <w:t>State government</w:t>
                  </w:r>
                </w:p>
              </w:tc>
              <w:tc>
                <w:tcPr>
                  <w:tcW w:w="1980" w:type="dxa"/>
                  <w:vAlign w:val="center"/>
                </w:tcPr>
                <w:p w:rsidR="00157B9F" w:rsidRPr="00AE7E23" w:rsidRDefault="00157B9F" w:rsidP="00157B9F">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157B9F" w:rsidRPr="00AE7E23" w:rsidTr="00A83DA6">
              <w:trPr>
                <w:cnfStyle w:val="000000010000"/>
                <w:trHeight w:val="246"/>
              </w:trPr>
              <w:tc>
                <w:tcPr>
                  <w:tcW w:w="1160" w:type="dxa"/>
                  <w:vAlign w:val="center"/>
                </w:tcPr>
                <w:p w:rsidR="00157B9F" w:rsidRPr="00AE7E23" w:rsidRDefault="00157B9F" w:rsidP="00157B9F">
                  <w:pPr>
                    <w:rPr>
                      <w:rFonts w:cs="Arial"/>
                      <w:color w:val="141313"/>
                      <w:sz w:val="16"/>
                      <w:szCs w:val="16"/>
                    </w:rPr>
                  </w:pPr>
                  <w:r w:rsidRPr="00AE7E23">
                    <w:rPr>
                      <w:rFonts w:cs="Arial"/>
                      <w:color w:val="141313"/>
                      <w:sz w:val="16"/>
                      <w:szCs w:val="16"/>
                    </w:rPr>
                    <w:t>Indonesia</w:t>
                  </w:r>
                </w:p>
              </w:tc>
              <w:tc>
                <w:tcPr>
                  <w:tcW w:w="1800" w:type="dxa"/>
                  <w:vAlign w:val="center"/>
                </w:tcPr>
                <w:p w:rsidR="00157B9F" w:rsidRPr="00AE7E23" w:rsidRDefault="00157B9F" w:rsidP="00157B9F">
                  <w:pPr>
                    <w:rPr>
                      <w:rFonts w:cs="Arial"/>
                      <w:color w:val="141313"/>
                      <w:sz w:val="16"/>
                      <w:szCs w:val="16"/>
                    </w:rPr>
                  </w:pPr>
                  <w:r w:rsidRPr="00AE7E23">
                    <w:rPr>
                      <w:rFonts w:cs="Arial"/>
                      <w:color w:val="141313"/>
                      <w:sz w:val="16"/>
                      <w:szCs w:val="16"/>
                    </w:rPr>
                    <w:t>Arun LNG T6</w:t>
                  </w:r>
                </w:p>
              </w:tc>
              <w:tc>
                <w:tcPr>
                  <w:tcW w:w="63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1986</w:t>
                  </w:r>
                </w:p>
              </w:tc>
              <w:tc>
                <w:tcPr>
                  <w:tcW w:w="1080" w:type="dxa"/>
                  <w:vAlign w:val="center"/>
                </w:tcPr>
                <w:p w:rsidR="00157B9F" w:rsidRPr="00AE7E23" w:rsidRDefault="00157B9F" w:rsidP="00157B9F">
                  <w:pPr>
                    <w:jc w:val="center"/>
                    <w:rPr>
                      <w:rFonts w:cs="Arial"/>
                      <w:color w:val="141313"/>
                      <w:sz w:val="16"/>
                      <w:szCs w:val="16"/>
                    </w:rPr>
                  </w:pPr>
                  <w:r w:rsidRPr="00AE7E23">
                    <w:rPr>
                      <w:rFonts w:cs="Arial"/>
                      <w:color w:val="141313"/>
                      <w:sz w:val="16"/>
                      <w:szCs w:val="16"/>
                    </w:rPr>
                    <w:t>2.5</w:t>
                  </w:r>
                </w:p>
              </w:tc>
              <w:tc>
                <w:tcPr>
                  <w:tcW w:w="3420" w:type="dxa"/>
                  <w:vAlign w:val="center"/>
                </w:tcPr>
                <w:p w:rsidR="00157B9F" w:rsidRDefault="00157B9F" w:rsidP="00157B9F">
                  <w:pPr>
                    <w:rPr>
                      <w:rFonts w:cs="Arial"/>
                      <w:color w:val="141313"/>
                      <w:sz w:val="16"/>
                      <w:szCs w:val="16"/>
                      <w:lang w:val="es-ES"/>
                    </w:rPr>
                  </w:pPr>
                  <w:r>
                    <w:rPr>
                      <w:rFonts w:cs="Arial"/>
                      <w:color w:val="141313"/>
                      <w:sz w:val="16"/>
                      <w:szCs w:val="16"/>
                      <w:lang w:val="es-ES"/>
                    </w:rPr>
                    <w:t>Pertamina</w:t>
                  </w:r>
                </w:p>
              </w:tc>
              <w:tc>
                <w:tcPr>
                  <w:tcW w:w="1980" w:type="dxa"/>
                  <w:vAlign w:val="center"/>
                </w:tcPr>
                <w:p w:rsidR="00157B9F" w:rsidRPr="00AE7E23" w:rsidRDefault="00157B9F" w:rsidP="00157B9F">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Australia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North West Shelf T1</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1989</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2.5</w:t>
                  </w:r>
                </w:p>
              </w:tc>
              <w:tc>
                <w:tcPr>
                  <w:tcW w:w="3420" w:type="dxa"/>
                  <w:vAlign w:val="center"/>
                </w:tcPr>
                <w:p w:rsidR="00D915DD" w:rsidRDefault="00D915DD" w:rsidP="00D915DD">
                  <w:pPr>
                    <w:rPr>
                      <w:rFonts w:cs="Arial"/>
                      <w:color w:val="141313"/>
                      <w:sz w:val="16"/>
                      <w:szCs w:val="16"/>
                    </w:rPr>
                  </w:pPr>
                  <w:r>
                    <w:rPr>
                      <w:rFonts w:cs="Arial"/>
                      <w:color w:val="141313"/>
                      <w:sz w:val="16"/>
                      <w:szCs w:val="16"/>
                      <w:lang w:val="en-GB"/>
                    </w:rPr>
                    <w:t>BHP Billiton, BP, Chevron, Shell, Woodside, Mitsubishi, Mitsui</w:t>
                  </w:r>
                </w:p>
              </w:tc>
              <w:tc>
                <w:tcPr>
                  <w:tcW w:w="1980" w:type="dxa"/>
                  <w:vAlign w:val="center"/>
                </w:tcPr>
                <w:p w:rsidR="00D915DD" w:rsidRPr="00AE7E23" w:rsidRDefault="00D915DD" w:rsidP="00D915DD">
                  <w:pPr>
                    <w:jc w:val="center"/>
                    <w:rPr>
                      <w:rFonts w:cs="Arial"/>
                      <w:b/>
                      <w:sz w:val="16"/>
                      <w:szCs w:val="16"/>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Australia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North West Shelf T2</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1989</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2.5</w:t>
                  </w:r>
                </w:p>
              </w:tc>
              <w:tc>
                <w:tcPr>
                  <w:tcW w:w="3420" w:type="dxa"/>
                  <w:vAlign w:val="center"/>
                </w:tcPr>
                <w:p w:rsidR="00D915DD" w:rsidRDefault="00D915DD" w:rsidP="00D915DD">
                  <w:pPr>
                    <w:rPr>
                      <w:rFonts w:cs="Arial"/>
                      <w:color w:val="141313"/>
                      <w:sz w:val="16"/>
                      <w:szCs w:val="16"/>
                    </w:rPr>
                  </w:pPr>
                  <w:r>
                    <w:rPr>
                      <w:rFonts w:cs="Arial"/>
                      <w:color w:val="141313"/>
                      <w:sz w:val="16"/>
                      <w:szCs w:val="16"/>
                      <w:lang w:val="en-GB"/>
                    </w:rPr>
                    <w:t>BHP Billiton, BP, Chevron, Shell, Woodside, Mitsubishi, Mitsui</w:t>
                  </w:r>
                </w:p>
              </w:tc>
              <w:tc>
                <w:tcPr>
                  <w:tcW w:w="1980" w:type="dxa"/>
                  <w:vAlign w:val="center"/>
                </w:tcPr>
                <w:p w:rsidR="00D915DD" w:rsidRPr="00AE7E23" w:rsidRDefault="00D915DD" w:rsidP="00D915DD">
                  <w:pPr>
                    <w:jc w:val="center"/>
                    <w:rPr>
                      <w:rFonts w:cs="Arial"/>
                      <w:b/>
                      <w:sz w:val="16"/>
                      <w:szCs w:val="16"/>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Indonesia</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Bontang</w:t>
                  </w:r>
                  <w:proofErr w:type="spellEnd"/>
                  <w:r w:rsidRPr="00AE7E23">
                    <w:rPr>
                      <w:rFonts w:cs="Arial"/>
                      <w:color w:val="141313"/>
                      <w:sz w:val="16"/>
                      <w:szCs w:val="16"/>
                    </w:rPr>
                    <w:t xml:space="preserve"> LNG T5</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1989</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2.9</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Pertamina</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Australia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North West Shelf T3</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1992</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2.5</w:t>
                  </w:r>
                </w:p>
              </w:tc>
              <w:tc>
                <w:tcPr>
                  <w:tcW w:w="3420" w:type="dxa"/>
                  <w:vAlign w:val="center"/>
                </w:tcPr>
                <w:p w:rsidR="00D915DD" w:rsidRDefault="00D915DD" w:rsidP="00D915DD">
                  <w:pPr>
                    <w:rPr>
                      <w:rFonts w:cs="Arial"/>
                      <w:color w:val="141313"/>
                      <w:sz w:val="16"/>
                      <w:szCs w:val="16"/>
                    </w:rPr>
                  </w:pPr>
                  <w:r>
                    <w:rPr>
                      <w:rFonts w:cs="Arial"/>
                      <w:color w:val="141313"/>
                      <w:sz w:val="16"/>
                      <w:szCs w:val="16"/>
                      <w:lang w:val="en-GB"/>
                    </w:rPr>
                    <w:t>BHP Billiton, BP, Chevron, Shell, Woodside, Mitsubishi, Mitsui</w:t>
                  </w:r>
                </w:p>
              </w:tc>
              <w:tc>
                <w:tcPr>
                  <w:tcW w:w="1980" w:type="dxa"/>
                  <w:vAlign w:val="center"/>
                </w:tcPr>
                <w:p w:rsidR="00D915DD" w:rsidRPr="00AE7E23" w:rsidRDefault="00D915DD" w:rsidP="00D915DD">
                  <w:pPr>
                    <w:jc w:val="center"/>
                    <w:rPr>
                      <w:rFonts w:cs="Arial"/>
                      <w:b/>
                      <w:sz w:val="16"/>
                      <w:szCs w:val="16"/>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Indonesia</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Bontang</w:t>
                  </w:r>
                  <w:proofErr w:type="spellEnd"/>
                  <w:r w:rsidRPr="00AE7E23">
                    <w:rPr>
                      <w:rFonts w:cs="Arial"/>
                      <w:color w:val="141313"/>
                      <w:sz w:val="16"/>
                      <w:szCs w:val="16"/>
                    </w:rPr>
                    <w:t xml:space="preserve"> LNG T6</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1994</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2.9</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Pertamina</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United Arab Emirates</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ADGAS LNG T3</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1994</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3.2</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 xml:space="preserve">ADNOC, </w:t>
                  </w:r>
                  <w:proofErr w:type="spellStart"/>
                  <w:r>
                    <w:rPr>
                      <w:rFonts w:cs="Arial"/>
                      <w:color w:val="141313"/>
                      <w:sz w:val="16"/>
                      <w:szCs w:val="16"/>
                      <w:lang w:val="es-ES"/>
                    </w:rPr>
                    <w:t>Mitsui</w:t>
                  </w:r>
                  <w:proofErr w:type="spellEnd"/>
                  <w:r>
                    <w:rPr>
                      <w:rFonts w:cs="Arial"/>
                      <w:color w:val="141313"/>
                      <w:sz w:val="16"/>
                      <w:szCs w:val="16"/>
                      <w:lang w:val="es-ES"/>
                    </w:rPr>
                    <w:t>, BP, TOTAL</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Malaysia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 xml:space="preserve">MLNG </w:t>
                  </w:r>
                  <w:proofErr w:type="spellStart"/>
                  <w:r w:rsidRPr="00AE7E23">
                    <w:rPr>
                      <w:rFonts w:cs="Arial"/>
                      <w:color w:val="141313"/>
                      <w:sz w:val="16"/>
                      <w:szCs w:val="16"/>
                    </w:rPr>
                    <w:t>Dua</w:t>
                  </w:r>
                  <w:proofErr w:type="spellEnd"/>
                  <w:r w:rsidRPr="00AE7E23">
                    <w:rPr>
                      <w:rFonts w:cs="Arial"/>
                      <w:color w:val="141313"/>
                      <w:sz w:val="16"/>
                      <w:szCs w:val="16"/>
                    </w:rPr>
                    <w:t xml:space="preserve"> (T1-3)</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1995</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7.8</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 xml:space="preserve">PETRONAS, Shell, Mitsubishi, Sarawak </w:t>
                  </w:r>
                  <w:proofErr w:type="spellStart"/>
                  <w:r>
                    <w:rPr>
                      <w:rFonts w:cs="Arial"/>
                      <w:color w:val="141313"/>
                      <w:sz w:val="16"/>
                      <w:szCs w:val="16"/>
                      <w:lang w:val="es-ES"/>
                    </w:rPr>
                    <w:t>State</w:t>
                  </w:r>
                  <w:proofErr w:type="spellEnd"/>
                  <w:r>
                    <w:rPr>
                      <w:rFonts w:cs="Arial"/>
                      <w:color w:val="141313"/>
                      <w:sz w:val="16"/>
                      <w:szCs w:val="16"/>
                      <w:lang w:val="es-ES"/>
                    </w:rPr>
                    <w:t xml:space="preserve"> </w:t>
                  </w:r>
                  <w:proofErr w:type="spellStart"/>
                  <w:r>
                    <w:rPr>
                      <w:rFonts w:cs="Arial"/>
                      <w:color w:val="141313"/>
                      <w:sz w:val="16"/>
                      <w:szCs w:val="16"/>
                      <w:lang w:val="es-ES"/>
                    </w:rPr>
                    <w:t>government</w:t>
                  </w:r>
                  <w:proofErr w:type="spellEnd"/>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Qatar</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Qatargas</w:t>
                  </w:r>
                  <w:proofErr w:type="spellEnd"/>
                  <w:r w:rsidRPr="00AE7E23">
                    <w:rPr>
                      <w:rFonts w:cs="Arial"/>
                      <w:color w:val="141313"/>
                      <w:sz w:val="16"/>
                      <w:szCs w:val="16"/>
                    </w:rPr>
                    <w:t xml:space="preserve"> I (T1)</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1997</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3.2</w:t>
                  </w:r>
                </w:p>
              </w:tc>
              <w:tc>
                <w:tcPr>
                  <w:tcW w:w="3420" w:type="dxa"/>
                  <w:vAlign w:val="center"/>
                </w:tcPr>
                <w:p w:rsidR="00D915DD" w:rsidRDefault="00D915DD" w:rsidP="00A4184D">
                  <w:pPr>
                    <w:rPr>
                      <w:rFonts w:cs="Arial"/>
                      <w:color w:val="141313"/>
                      <w:sz w:val="16"/>
                      <w:szCs w:val="16"/>
                      <w:lang w:val="es-ES"/>
                    </w:rPr>
                  </w:pPr>
                  <w:r>
                    <w:rPr>
                      <w:rFonts w:cs="Arial"/>
                      <w:color w:val="141313"/>
                      <w:sz w:val="16"/>
                      <w:szCs w:val="16"/>
                      <w:lang w:val="es-ES"/>
                    </w:rPr>
                    <w:t>Qata</w:t>
                  </w:r>
                  <w:r w:rsidR="00A4184D">
                    <w:rPr>
                      <w:rFonts w:cs="Arial"/>
                      <w:color w:val="141313"/>
                      <w:sz w:val="16"/>
                      <w:szCs w:val="16"/>
                      <w:lang w:val="es-ES"/>
                    </w:rPr>
                    <w:t xml:space="preserve">r </w:t>
                  </w:r>
                  <w:proofErr w:type="spellStart"/>
                  <w:r w:rsidR="00A4184D">
                    <w:rPr>
                      <w:rFonts w:cs="Arial"/>
                      <w:color w:val="141313"/>
                      <w:sz w:val="16"/>
                      <w:szCs w:val="16"/>
                      <w:lang w:val="es-ES"/>
                    </w:rPr>
                    <w:t>Petroleum</w:t>
                  </w:r>
                  <w:proofErr w:type="spellEnd"/>
                  <w:r w:rsidR="00A4184D">
                    <w:rPr>
                      <w:rFonts w:cs="Arial"/>
                      <w:color w:val="141313"/>
                      <w:sz w:val="16"/>
                      <w:szCs w:val="16"/>
                      <w:lang w:val="es-ES"/>
                    </w:rPr>
                    <w:t xml:space="preserve">, </w:t>
                  </w:r>
                  <w:proofErr w:type="spellStart"/>
                  <w:r w:rsidR="00A4184D">
                    <w:rPr>
                      <w:rFonts w:cs="Arial"/>
                      <w:color w:val="141313"/>
                      <w:sz w:val="16"/>
                      <w:szCs w:val="16"/>
                      <w:lang w:val="es-ES"/>
                    </w:rPr>
                    <w:t>ExxonMobil</w:t>
                  </w:r>
                  <w:proofErr w:type="spellEnd"/>
                  <w:r w:rsidR="00A4184D">
                    <w:rPr>
                      <w:rFonts w:cs="Arial"/>
                      <w:color w:val="141313"/>
                      <w:sz w:val="16"/>
                      <w:szCs w:val="16"/>
                      <w:lang w:val="es-ES"/>
                    </w:rPr>
                    <w:t xml:space="preserve">, TOTAL,,  </w:t>
                  </w:r>
                  <w:proofErr w:type="spellStart"/>
                  <w:r w:rsidR="00A4184D">
                    <w:rPr>
                      <w:rFonts w:cs="Arial"/>
                      <w:color w:val="141313"/>
                      <w:sz w:val="16"/>
                      <w:szCs w:val="16"/>
                      <w:lang w:val="es-ES"/>
                    </w:rPr>
                    <w:t>Marubeni</w:t>
                  </w:r>
                  <w:proofErr w:type="spellEnd"/>
                  <w:r w:rsidR="00A4184D">
                    <w:rPr>
                      <w:rFonts w:cs="Arial"/>
                      <w:color w:val="141313"/>
                      <w:sz w:val="16"/>
                      <w:szCs w:val="16"/>
                      <w:lang w:val="es-ES"/>
                    </w:rPr>
                    <w:t xml:space="preserve">, </w:t>
                  </w:r>
                  <w:proofErr w:type="spellStart"/>
                  <w:r w:rsidR="00A4184D">
                    <w:rPr>
                      <w:rFonts w:cs="Arial"/>
                      <w:color w:val="141313"/>
                      <w:sz w:val="16"/>
                      <w:szCs w:val="16"/>
                      <w:lang w:val="es-ES"/>
                    </w:rPr>
                    <w:t>Mitsui</w:t>
                  </w:r>
                  <w:proofErr w:type="spellEnd"/>
                  <w:r>
                    <w:rPr>
                      <w:rFonts w:cs="Arial"/>
                      <w:color w:val="141313"/>
                      <w:sz w:val="16"/>
                      <w:szCs w:val="16"/>
                      <w:lang w:val="es-ES"/>
                    </w:rPr>
                    <w:t xml:space="preserve"> </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Qatar</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Qatargas</w:t>
                  </w:r>
                  <w:proofErr w:type="spellEnd"/>
                  <w:r w:rsidRPr="00AE7E23">
                    <w:rPr>
                      <w:rFonts w:cs="Arial"/>
                      <w:color w:val="141313"/>
                      <w:sz w:val="16"/>
                      <w:szCs w:val="16"/>
                    </w:rPr>
                    <w:t xml:space="preserve"> I (T2)</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1997</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3.2</w:t>
                  </w:r>
                </w:p>
              </w:tc>
              <w:tc>
                <w:tcPr>
                  <w:tcW w:w="3420" w:type="dxa"/>
                  <w:vAlign w:val="center"/>
                </w:tcPr>
                <w:p w:rsidR="00D915DD" w:rsidRDefault="00D915DD" w:rsidP="00A4184D">
                  <w:pPr>
                    <w:rPr>
                      <w:rFonts w:cs="Arial"/>
                      <w:color w:val="141313"/>
                      <w:sz w:val="16"/>
                      <w:szCs w:val="16"/>
                      <w:lang w:val="es-ES"/>
                    </w:rPr>
                  </w:pPr>
                  <w:r>
                    <w:rPr>
                      <w:rFonts w:cs="Arial"/>
                      <w:color w:val="141313"/>
                      <w:sz w:val="16"/>
                      <w:szCs w:val="16"/>
                      <w:lang w:val="es-ES"/>
                    </w:rPr>
                    <w:t xml:space="preserve">Qatar </w:t>
                  </w:r>
                  <w:proofErr w:type="spellStart"/>
                  <w:r>
                    <w:rPr>
                      <w:rFonts w:cs="Arial"/>
                      <w:color w:val="141313"/>
                      <w:sz w:val="16"/>
                      <w:szCs w:val="16"/>
                      <w:lang w:val="es-ES"/>
                    </w:rPr>
                    <w:t>Petroleum</w:t>
                  </w:r>
                  <w:proofErr w:type="spellEnd"/>
                  <w:r>
                    <w:rPr>
                      <w:rFonts w:cs="Arial"/>
                      <w:color w:val="141313"/>
                      <w:sz w:val="16"/>
                      <w:szCs w:val="16"/>
                      <w:lang w:val="es-ES"/>
                    </w:rPr>
                    <w:t xml:space="preserve">, </w:t>
                  </w:r>
                  <w:proofErr w:type="spellStart"/>
                  <w:r>
                    <w:rPr>
                      <w:rFonts w:cs="Arial"/>
                      <w:color w:val="141313"/>
                      <w:sz w:val="16"/>
                      <w:szCs w:val="16"/>
                      <w:lang w:val="es-ES"/>
                    </w:rPr>
                    <w:t>ExxonMobil</w:t>
                  </w:r>
                  <w:proofErr w:type="spellEnd"/>
                  <w:r>
                    <w:rPr>
                      <w:rFonts w:cs="Arial"/>
                      <w:color w:val="141313"/>
                      <w:sz w:val="16"/>
                      <w:szCs w:val="16"/>
                      <w:lang w:val="es-ES"/>
                    </w:rPr>
                    <w:t xml:space="preserve">, TOTAL, </w:t>
                  </w:r>
                  <w:proofErr w:type="spellStart"/>
                  <w:r>
                    <w:rPr>
                      <w:rFonts w:cs="Arial"/>
                      <w:color w:val="141313"/>
                      <w:sz w:val="16"/>
                      <w:szCs w:val="16"/>
                      <w:lang w:val="es-ES"/>
                    </w:rPr>
                    <w:t>Marubeni</w:t>
                  </w:r>
                  <w:proofErr w:type="spellEnd"/>
                  <w:r w:rsidR="00A4184D">
                    <w:rPr>
                      <w:rFonts w:cs="Arial"/>
                      <w:color w:val="141313"/>
                      <w:sz w:val="16"/>
                      <w:szCs w:val="16"/>
                      <w:lang w:val="es-ES"/>
                    </w:rPr>
                    <w:t xml:space="preserve">,  </w:t>
                  </w:r>
                  <w:proofErr w:type="spellStart"/>
                  <w:r w:rsidR="00A4184D">
                    <w:rPr>
                      <w:rFonts w:cs="Arial"/>
                      <w:color w:val="141313"/>
                      <w:sz w:val="16"/>
                      <w:szCs w:val="16"/>
                      <w:lang w:val="es-ES"/>
                    </w:rPr>
                    <w:t>Mitsui</w:t>
                  </w:r>
                  <w:proofErr w:type="spellEnd"/>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Indonesia</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Bontang</w:t>
                  </w:r>
                  <w:proofErr w:type="spellEnd"/>
                  <w:r w:rsidRPr="00AE7E23">
                    <w:rPr>
                      <w:rFonts w:cs="Arial"/>
                      <w:color w:val="141313"/>
                      <w:sz w:val="16"/>
                      <w:szCs w:val="16"/>
                    </w:rPr>
                    <w:t xml:space="preserve"> LNG T7</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1998</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2.7</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Pertamina</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Qatar</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Qatargas</w:t>
                  </w:r>
                  <w:proofErr w:type="spellEnd"/>
                  <w:r w:rsidRPr="00AE7E23">
                    <w:rPr>
                      <w:rFonts w:cs="Arial"/>
                      <w:color w:val="141313"/>
                      <w:sz w:val="16"/>
                      <w:szCs w:val="16"/>
                    </w:rPr>
                    <w:t xml:space="preserve"> I (T3)</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1998</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3.1</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 xml:space="preserve">Qatar </w:t>
                  </w:r>
                  <w:proofErr w:type="spellStart"/>
                  <w:r>
                    <w:rPr>
                      <w:rFonts w:cs="Arial"/>
                      <w:color w:val="141313"/>
                      <w:sz w:val="16"/>
                      <w:szCs w:val="16"/>
                      <w:lang w:val="es-ES"/>
                    </w:rPr>
                    <w:t>Petroleum</w:t>
                  </w:r>
                  <w:proofErr w:type="spellEnd"/>
                  <w:r>
                    <w:rPr>
                      <w:rFonts w:cs="Arial"/>
                      <w:color w:val="141313"/>
                      <w:sz w:val="16"/>
                      <w:szCs w:val="16"/>
                      <w:lang w:val="es-ES"/>
                    </w:rPr>
                    <w:t xml:space="preserve">, </w:t>
                  </w:r>
                  <w:proofErr w:type="spellStart"/>
                  <w:r>
                    <w:rPr>
                      <w:rFonts w:cs="Arial"/>
                      <w:color w:val="141313"/>
                      <w:sz w:val="16"/>
                      <w:szCs w:val="16"/>
                      <w:lang w:val="es-ES"/>
                    </w:rPr>
                    <w:t>ExxonMobil</w:t>
                  </w:r>
                  <w:proofErr w:type="spellEnd"/>
                  <w:r>
                    <w:rPr>
                      <w:rFonts w:cs="Arial"/>
                      <w:color w:val="141313"/>
                      <w:sz w:val="16"/>
                      <w:szCs w:val="16"/>
                      <w:lang w:val="es-ES"/>
                    </w:rPr>
                    <w:t xml:space="preserve">, TOTAL, </w:t>
                  </w:r>
                  <w:proofErr w:type="spellStart"/>
                  <w:r>
                    <w:rPr>
                      <w:rFonts w:cs="Arial"/>
                      <w:color w:val="141313"/>
                      <w:sz w:val="16"/>
                      <w:szCs w:val="16"/>
                      <w:lang w:val="es-ES"/>
                    </w:rPr>
                    <w:t>Mitsui</w:t>
                  </w:r>
                  <w:proofErr w:type="spellEnd"/>
                  <w:r>
                    <w:rPr>
                      <w:rFonts w:cs="Arial"/>
                      <w:color w:val="141313"/>
                      <w:sz w:val="16"/>
                      <w:szCs w:val="16"/>
                      <w:lang w:val="es-ES"/>
                    </w:rPr>
                    <w:t xml:space="preserve">, </w:t>
                  </w:r>
                  <w:proofErr w:type="spellStart"/>
                  <w:r>
                    <w:rPr>
                      <w:rFonts w:cs="Arial"/>
                      <w:color w:val="141313"/>
                      <w:sz w:val="16"/>
                      <w:szCs w:val="16"/>
                      <w:lang w:val="es-ES"/>
                    </w:rPr>
                    <w:t>Marubeni</w:t>
                  </w:r>
                  <w:proofErr w:type="spellEnd"/>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Indonesia</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Bontang</w:t>
                  </w:r>
                  <w:proofErr w:type="spellEnd"/>
                  <w:r w:rsidRPr="00AE7E23">
                    <w:rPr>
                      <w:rFonts w:cs="Arial"/>
                      <w:color w:val="141313"/>
                      <w:sz w:val="16"/>
                      <w:szCs w:val="16"/>
                    </w:rPr>
                    <w:t xml:space="preserve"> LNG T8</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1999</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Pertamina</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Nigeria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NLNG T1</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1999</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3.3</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NNPC, Shell, TOTAL, Eni</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Qatar</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RasGas</w:t>
                  </w:r>
                  <w:proofErr w:type="spellEnd"/>
                  <w:r w:rsidRPr="00AE7E23">
                    <w:rPr>
                      <w:rFonts w:cs="Arial"/>
                      <w:color w:val="141313"/>
                      <w:sz w:val="16"/>
                      <w:szCs w:val="16"/>
                    </w:rPr>
                    <w:t xml:space="preserve"> I (T1)</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1999</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3.3</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 xml:space="preserve">Qatar </w:t>
                  </w:r>
                  <w:proofErr w:type="spellStart"/>
                  <w:r>
                    <w:rPr>
                      <w:rFonts w:cs="Arial"/>
                      <w:color w:val="141313"/>
                      <w:sz w:val="16"/>
                      <w:szCs w:val="16"/>
                      <w:lang w:val="es-ES"/>
                    </w:rPr>
                    <w:t>Petroleum</w:t>
                  </w:r>
                  <w:proofErr w:type="spellEnd"/>
                  <w:r>
                    <w:rPr>
                      <w:rFonts w:cs="Arial"/>
                      <w:color w:val="141313"/>
                      <w:sz w:val="16"/>
                      <w:szCs w:val="16"/>
                      <w:lang w:val="es-ES"/>
                    </w:rPr>
                    <w:t xml:space="preserve">, </w:t>
                  </w:r>
                  <w:proofErr w:type="spellStart"/>
                  <w:r>
                    <w:rPr>
                      <w:rFonts w:cs="Arial"/>
                      <w:color w:val="141313"/>
                      <w:sz w:val="16"/>
                      <w:szCs w:val="16"/>
                      <w:lang w:val="es-ES"/>
                    </w:rPr>
                    <w:t>ExxonMobil</w:t>
                  </w:r>
                  <w:proofErr w:type="spellEnd"/>
                  <w:r>
                    <w:rPr>
                      <w:rFonts w:cs="Arial"/>
                      <w:color w:val="141313"/>
                      <w:sz w:val="16"/>
                      <w:szCs w:val="16"/>
                      <w:lang w:val="es-ES"/>
                    </w:rPr>
                    <w:t xml:space="preserve">, KOGAS, </w:t>
                  </w:r>
                  <w:proofErr w:type="spellStart"/>
                  <w:r>
                    <w:rPr>
                      <w:rFonts w:cs="Arial"/>
                      <w:color w:val="141313"/>
                      <w:sz w:val="16"/>
                      <w:szCs w:val="16"/>
                      <w:lang w:val="es-ES"/>
                    </w:rPr>
                    <w:t>Itochu</w:t>
                  </w:r>
                  <w:proofErr w:type="spellEnd"/>
                  <w:r>
                    <w:rPr>
                      <w:rFonts w:cs="Arial"/>
                      <w:color w:val="141313"/>
                      <w:sz w:val="16"/>
                      <w:szCs w:val="16"/>
                      <w:lang w:val="es-ES"/>
                    </w:rPr>
                    <w:t xml:space="preserve">, LNG </w:t>
                  </w:r>
                  <w:proofErr w:type="spellStart"/>
                  <w:r>
                    <w:rPr>
                      <w:rFonts w:cs="Arial"/>
                      <w:color w:val="141313"/>
                      <w:sz w:val="16"/>
                      <w:szCs w:val="16"/>
                      <w:lang w:val="es-ES"/>
                    </w:rPr>
                    <w:t>Japan</w:t>
                  </w:r>
                  <w:proofErr w:type="spellEnd"/>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Trinidad</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ALNG T1</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1999</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3.3</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BP, BG, Repsol</w:t>
                  </w:r>
                  <w:r w:rsidR="00A95AB6">
                    <w:rPr>
                      <w:rFonts w:cs="Arial"/>
                      <w:color w:val="141313"/>
                      <w:sz w:val="16"/>
                      <w:szCs w:val="16"/>
                      <w:lang w:val="es-ES"/>
                    </w:rPr>
                    <w:t>**</w:t>
                  </w:r>
                  <w:r>
                    <w:rPr>
                      <w:rFonts w:cs="Arial"/>
                      <w:color w:val="141313"/>
                      <w:sz w:val="16"/>
                      <w:szCs w:val="16"/>
                      <w:lang w:val="es-ES"/>
                    </w:rPr>
                    <w:t>, CIC, NGC Trinidad</w:t>
                  </w:r>
                </w:p>
              </w:tc>
              <w:tc>
                <w:tcPr>
                  <w:tcW w:w="1980" w:type="dxa"/>
                  <w:vAlign w:val="center"/>
                </w:tcPr>
                <w:p w:rsidR="00D915DD" w:rsidRPr="00AE7E23" w:rsidRDefault="00A95AB6" w:rsidP="00D915DD">
                  <w:pPr>
                    <w:jc w:val="center"/>
                    <w:rPr>
                      <w:rFonts w:cs="Arial"/>
                      <w:sz w:val="16"/>
                      <w:szCs w:val="16"/>
                      <w:lang w:val="en-GB" w:eastAsia="en-US"/>
                    </w:rPr>
                  </w:pPr>
                  <w:r w:rsidRPr="00AE7E23">
                    <w:rPr>
                      <w:rFonts w:cs="Arial"/>
                      <w:sz w:val="16"/>
                      <w:szCs w:val="16"/>
                      <w:lang w:val="en-GB" w:eastAsia="en-US"/>
                    </w:rPr>
                    <w:t>ConocoPhillips Optimized Cascade®</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Nigeria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NLNG T2</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2000</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3.3</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NNPC, Shell, TOTAL, Eni</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Oman</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Oman LNG T1</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2000</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3.55</w:t>
                  </w:r>
                </w:p>
              </w:tc>
              <w:tc>
                <w:tcPr>
                  <w:tcW w:w="3420" w:type="dxa"/>
                  <w:vAlign w:val="center"/>
                </w:tcPr>
                <w:p w:rsidR="00D915DD" w:rsidRDefault="00D915DD" w:rsidP="00D915DD">
                  <w:pPr>
                    <w:rPr>
                      <w:rFonts w:cs="Arial"/>
                      <w:color w:val="141313"/>
                      <w:sz w:val="16"/>
                      <w:szCs w:val="16"/>
                      <w:lang w:val="es-ES"/>
                    </w:rPr>
                  </w:pPr>
                  <w:r w:rsidRPr="00D915DD">
                    <w:rPr>
                      <w:rFonts w:cs="Arial"/>
                      <w:color w:val="141313"/>
                      <w:sz w:val="16"/>
                      <w:szCs w:val="16"/>
                    </w:rPr>
                    <w:t xml:space="preserve">Petroleum Development Oman </w:t>
                  </w:r>
                  <w:r>
                    <w:rPr>
                      <w:rFonts w:cs="Arial"/>
                      <w:color w:val="141313"/>
                      <w:sz w:val="16"/>
                      <w:szCs w:val="16"/>
                      <w:lang w:val="es-ES"/>
                    </w:rPr>
                    <w:t xml:space="preserve">(PDO), Shell, TOTAL, </w:t>
                  </w:r>
                  <w:proofErr w:type="spellStart"/>
                  <w:r>
                    <w:rPr>
                      <w:rFonts w:cs="Arial"/>
                      <w:color w:val="141313"/>
                      <w:sz w:val="16"/>
                      <w:szCs w:val="16"/>
                      <w:lang w:val="es-ES"/>
                    </w:rPr>
                    <w:t>Korea</w:t>
                  </w:r>
                  <w:proofErr w:type="spellEnd"/>
                  <w:r>
                    <w:rPr>
                      <w:rFonts w:cs="Arial"/>
                      <w:color w:val="141313"/>
                      <w:sz w:val="16"/>
                      <w:szCs w:val="16"/>
                      <w:lang w:val="es-ES"/>
                    </w:rPr>
                    <w:t xml:space="preserve"> LNG, </w:t>
                  </w:r>
                  <w:proofErr w:type="spellStart"/>
                  <w:r>
                    <w:rPr>
                      <w:rFonts w:cs="Arial"/>
                      <w:color w:val="141313"/>
                      <w:sz w:val="16"/>
                      <w:szCs w:val="16"/>
                      <w:lang w:val="es-ES"/>
                    </w:rPr>
                    <w:t>Partex</w:t>
                  </w:r>
                  <w:proofErr w:type="spellEnd"/>
                  <w:r>
                    <w:rPr>
                      <w:rFonts w:cs="Arial"/>
                      <w:color w:val="141313"/>
                      <w:sz w:val="16"/>
                      <w:szCs w:val="16"/>
                      <w:lang w:val="es-ES"/>
                    </w:rPr>
                    <w:t xml:space="preserve">, Mitsubishi, </w:t>
                  </w:r>
                  <w:proofErr w:type="spellStart"/>
                  <w:r>
                    <w:rPr>
                      <w:rFonts w:cs="Arial"/>
                      <w:color w:val="141313"/>
                      <w:sz w:val="16"/>
                      <w:szCs w:val="16"/>
                      <w:lang w:val="es-ES"/>
                    </w:rPr>
                    <w:t>Mitsui</w:t>
                  </w:r>
                  <w:proofErr w:type="spellEnd"/>
                  <w:r>
                    <w:rPr>
                      <w:rFonts w:cs="Arial"/>
                      <w:color w:val="141313"/>
                      <w:sz w:val="16"/>
                      <w:szCs w:val="16"/>
                      <w:lang w:val="es-ES"/>
                    </w:rPr>
                    <w:t xml:space="preserve">, </w:t>
                  </w:r>
                  <w:proofErr w:type="spellStart"/>
                  <w:r>
                    <w:rPr>
                      <w:rFonts w:cs="Arial"/>
                      <w:color w:val="141313"/>
                      <w:sz w:val="16"/>
                      <w:szCs w:val="16"/>
                      <w:lang w:val="es-ES"/>
                    </w:rPr>
                    <w:t>Itochu</w:t>
                  </w:r>
                  <w:proofErr w:type="spellEnd"/>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Oman</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Oman LNG T2</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2000</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3.55</w:t>
                  </w:r>
                </w:p>
              </w:tc>
              <w:tc>
                <w:tcPr>
                  <w:tcW w:w="3420" w:type="dxa"/>
                  <w:vAlign w:val="center"/>
                </w:tcPr>
                <w:p w:rsidR="00D915DD" w:rsidRDefault="00D915DD" w:rsidP="00D915DD">
                  <w:pPr>
                    <w:rPr>
                      <w:rFonts w:cs="Arial"/>
                      <w:color w:val="141313"/>
                      <w:sz w:val="16"/>
                      <w:szCs w:val="16"/>
                      <w:lang w:val="es-ES"/>
                    </w:rPr>
                  </w:pPr>
                  <w:r w:rsidRPr="00D915DD">
                    <w:rPr>
                      <w:rFonts w:cs="Arial"/>
                      <w:color w:val="141313"/>
                      <w:sz w:val="16"/>
                      <w:szCs w:val="16"/>
                    </w:rPr>
                    <w:t xml:space="preserve">Petroleum Development Oman </w:t>
                  </w:r>
                  <w:r>
                    <w:rPr>
                      <w:rFonts w:cs="Arial"/>
                      <w:color w:val="141313"/>
                      <w:sz w:val="16"/>
                      <w:szCs w:val="16"/>
                      <w:lang w:val="es-ES"/>
                    </w:rPr>
                    <w:t xml:space="preserve">(PDO), Shell, TOTAL, </w:t>
                  </w:r>
                  <w:proofErr w:type="spellStart"/>
                  <w:r>
                    <w:rPr>
                      <w:rFonts w:cs="Arial"/>
                      <w:color w:val="141313"/>
                      <w:sz w:val="16"/>
                      <w:szCs w:val="16"/>
                      <w:lang w:val="es-ES"/>
                    </w:rPr>
                    <w:t>Korea</w:t>
                  </w:r>
                  <w:proofErr w:type="spellEnd"/>
                  <w:r>
                    <w:rPr>
                      <w:rFonts w:cs="Arial"/>
                      <w:color w:val="141313"/>
                      <w:sz w:val="16"/>
                      <w:szCs w:val="16"/>
                      <w:lang w:val="es-ES"/>
                    </w:rPr>
                    <w:t xml:space="preserve"> LNG, </w:t>
                  </w:r>
                  <w:proofErr w:type="spellStart"/>
                  <w:r>
                    <w:rPr>
                      <w:rFonts w:cs="Arial"/>
                      <w:color w:val="141313"/>
                      <w:sz w:val="16"/>
                      <w:szCs w:val="16"/>
                      <w:lang w:val="es-ES"/>
                    </w:rPr>
                    <w:t>Partex</w:t>
                  </w:r>
                  <w:proofErr w:type="spellEnd"/>
                  <w:r>
                    <w:rPr>
                      <w:rFonts w:cs="Arial"/>
                      <w:color w:val="141313"/>
                      <w:sz w:val="16"/>
                      <w:szCs w:val="16"/>
                      <w:lang w:val="es-ES"/>
                    </w:rPr>
                    <w:t xml:space="preserve">, Mitsubishi, </w:t>
                  </w:r>
                  <w:proofErr w:type="spellStart"/>
                  <w:r>
                    <w:rPr>
                      <w:rFonts w:cs="Arial"/>
                      <w:color w:val="141313"/>
                      <w:sz w:val="16"/>
                      <w:szCs w:val="16"/>
                      <w:lang w:val="es-ES"/>
                    </w:rPr>
                    <w:t>Mitsui</w:t>
                  </w:r>
                  <w:proofErr w:type="spellEnd"/>
                  <w:r>
                    <w:rPr>
                      <w:rFonts w:cs="Arial"/>
                      <w:color w:val="141313"/>
                      <w:sz w:val="16"/>
                      <w:szCs w:val="16"/>
                      <w:lang w:val="es-ES"/>
                    </w:rPr>
                    <w:t xml:space="preserve">, </w:t>
                  </w:r>
                  <w:proofErr w:type="spellStart"/>
                  <w:r>
                    <w:rPr>
                      <w:rFonts w:cs="Arial"/>
                      <w:color w:val="141313"/>
                      <w:sz w:val="16"/>
                      <w:szCs w:val="16"/>
                      <w:lang w:val="es-ES"/>
                    </w:rPr>
                    <w:t>Itochu</w:t>
                  </w:r>
                  <w:proofErr w:type="spellEnd"/>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Qatar</w:t>
                  </w:r>
                </w:p>
              </w:tc>
              <w:tc>
                <w:tcPr>
                  <w:tcW w:w="1800" w:type="dxa"/>
                  <w:vAlign w:val="center"/>
                </w:tcPr>
                <w:p w:rsidR="00D915DD" w:rsidRPr="00AE7E23" w:rsidRDefault="00D915DD" w:rsidP="00D915DD">
                  <w:pPr>
                    <w:rPr>
                      <w:rFonts w:cs="Arial"/>
                      <w:color w:val="141313"/>
                      <w:sz w:val="16"/>
                      <w:szCs w:val="16"/>
                    </w:rPr>
                  </w:pPr>
                  <w:proofErr w:type="spellStart"/>
                  <w:r w:rsidRPr="00AE7E23">
                    <w:rPr>
                      <w:rFonts w:cs="Arial"/>
                      <w:color w:val="141313"/>
                      <w:sz w:val="16"/>
                      <w:szCs w:val="16"/>
                    </w:rPr>
                    <w:t>RasGas</w:t>
                  </w:r>
                  <w:proofErr w:type="spellEnd"/>
                  <w:r w:rsidRPr="00AE7E23">
                    <w:rPr>
                      <w:rFonts w:cs="Arial"/>
                      <w:color w:val="141313"/>
                      <w:sz w:val="16"/>
                      <w:szCs w:val="16"/>
                    </w:rPr>
                    <w:t xml:space="preserve"> I (T2)</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2000</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3.3</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 xml:space="preserve">Qatar </w:t>
                  </w:r>
                  <w:proofErr w:type="spellStart"/>
                  <w:r>
                    <w:rPr>
                      <w:rFonts w:cs="Arial"/>
                      <w:color w:val="141313"/>
                      <w:sz w:val="16"/>
                      <w:szCs w:val="16"/>
                      <w:lang w:val="es-ES"/>
                    </w:rPr>
                    <w:t>Petroleum</w:t>
                  </w:r>
                  <w:proofErr w:type="spellEnd"/>
                  <w:r>
                    <w:rPr>
                      <w:rFonts w:cs="Arial"/>
                      <w:color w:val="141313"/>
                      <w:sz w:val="16"/>
                      <w:szCs w:val="16"/>
                      <w:lang w:val="es-ES"/>
                    </w:rPr>
                    <w:t xml:space="preserve">, </w:t>
                  </w:r>
                  <w:proofErr w:type="spellStart"/>
                  <w:r>
                    <w:rPr>
                      <w:rFonts w:cs="Arial"/>
                      <w:color w:val="141313"/>
                      <w:sz w:val="16"/>
                      <w:szCs w:val="16"/>
                      <w:lang w:val="es-ES"/>
                    </w:rPr>
                    <w:t>ExxonMobil</w:t>
                  </w:r>
                  <w:proofErr w:type="spellEnd"/>
                  <w:r>
                    <w:rPr>
                      <w:rFonts w:cs="Arial"/>
                      <w:color w:val="141313"/>
                      <w:sz w:val="16"/>
                      <w:szCs w:val="16"/>
                      <w:lang w:val="es-ES"/>
                    </w:rPr>
                    <w:t xml:space="preserve">, KOGAS, </w:t>
                  </w:r>
                  <w:proofErr w:type="spellStart"/>
                  <w:r>
                    <w:rPr>
                      <w:rFonts w:cs="Arial"/>
                      <w:color w:val="141313"/>
                      <w:sz w:val="16"/>
                      <w:szCs w:val="16"/>
                      <w:lang w:val="es-ES"/>
                    </w:rPr>
                    <w:t>Itochu</w:t>
                  </w:r>
                  <w:proofErr w:type="spellEnd"/>
                  <w:r>
                    <w:rPr>
                      <w:rFonts w:cs="Arial"/>
                      <w:color w:val="141313"/>
                      <w:sz w:val="16"/>
                      <w:szCs w:val="16"/>
                      <w:lang w:val="es-ES"/>
                    </w:rPr>
                    <w:t xml:space="preserve">, LNG </w:t>
                  </w:r>
                  <w:proofErr w:type="spellStart"/>
                  <w:r>
                    <w:rPr>
                      <w:rFonts w:cs="Arial"/>
                      <w:color w:val="141313"/>
                      <w:sz w:val="16"/>
                      <w:szCs w:val="16"/>
                      <w:lang w:val="es-ES"/>
                    </w:rPr>
                    <w:t>Japan</w:t>
                  </w:r>
                  <w:proofErr w:type="spellEnd"/>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Nigeria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NLNG T3</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2002</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w:t>
                  </w:r>
                </w:p>
              </w:tc>
              <w:tc>
                <w:tcPr>
                  <w:tcW w:w="3420" w:type="dxa"/>
                  <w:vAlign w:val="center"/>
                </w:tcPr>
                <w:p w:rsidR="00D915DD" w:rsidRDefault="00A95AB6" w:rsidP="00D915DD">
                  <w:pPr>
                    <w:rPr>
                      <w:rFonts w:cs="Arial"/>
                      <w:color w:val="141313"/>
                      <w:sz w:val="16"/>
                      <w:szCs w:val="16"/>
                      <w:lang w:val="es-ES"/>
                    </w:rPr>
                  </w:pPr>
                  <w:r>
                    <w:rPr>
                      <w:rFonts w:cs="Arial"/>
                      <w:color w:val="141313"/>
                      <w:sz w:val="16"/>
                      <w:szCs w:val="16"/>
                      <w:lang w:val="es-ES"/>
                    </w:rPr>
                    <w:t>NNPC, Shell, TOTAL, Eni</w:t>
                  </w:r>
                </w:p>
              </w:tc>
              <w:tc>
                <w:tcPr>
                  <w:tcW w:w="1980" w:type="dxa"/>
                  <w:vAlign w:val="center"/>
                </w:tcPr>
                <w:p w:rsidR="00D915DD" w:rsidRPr="00AE7E23" w:rsidRDefault="00A95AB6"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D915DD" w:rsidRPr="00AE7E23" w:rsidTr="00A83DA6">
              <w:trPr>
                <w:cnfStyle w:val="00000010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Trinidad</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ALNG T2</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2002</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3.5</w:t>
                  </w:r>
                </w:p>
              </w:tc>
              <w:tc>
                <w:tcPr>
                  <w:tcW w:w="3420" w:type="dxa"/>
                  <w:vAlign w:val="center"/>
                </w:tcPr>
                <w:p w:rsidR="00D915DD" w:rsidRDefault="00A95AB6" w:rsidP="00A4184D">
                  <w:pPr>
                    <w:rPr>
                      <w:rFonts w:cs="Arial"/>
                      <w:color w:val="141313"/>
                      <w:sz w:val="16"/>
                      <w:szCs w:val="16"/>
                      <w:lang w:val="es-ES"/>
                    </w:rPr>
                  </w:pPr>
                  <w:r>
                    <w:rPr>
                      <w:rFonts w:cs="Arial"/>
                      <w:color w:val="141313"/>
                      <w:sz w:val="16"/>
                      <w:szCs w:val="16"/>
                      <w:lang w:val="es-ES"/>
                    </w:rPr>
                    <w:t xml:space="preserve">BP, BG, </w:t>
                  </w:r>
                  <w:r w:rsidR="00A4184D">
                    <w:rPr>
                      <w:rFonts w:cs="Arial"/>
                      <w:color w:val="141313"/>
                      <w:sz w:val="16"/>
                      <w:szCs w:val="16"/>
                      <w:lang w:val="es-ES"/>
                    </w:rPr>
                    <w:t>Repsol**</w:t>
                  </w:r>
                </w:p>
              </w:tc>
              <w:tc>
                <w:tcPr>
                  <w:tcW w:w="1980" w:type="dxa"/>
                  <w:vAlign w:val="center"/>
                </w:tcPr>
                <w:p w:rsidR="00D915DD" w:rsidRPr="00AE7E23" w:rsidRDefault="00A95AB6" w:rsidP="00D915DD">
                  <w:pPr>
                    <w:jc w:val="center"/>
                    <w:rPr>
                      <w:rFonts w:cs="Arial"/>
                      <w:sz w:val="16"/>
                      <w:szCs w:val="16"/>
                      <w:lang w:val="en-GB" w:eastAsia="en-US"/>
                    </w:rPr>
                  </w:pPr>
                  <w:r w:rsidRPr="00AE7E23">
                    <w:rPr>
                      <w:rFonts w:cs="Arial"/>
                      <w:sz w:val="16"/>
                      <w:szCs w:val="16"/>
                      <w:lang w:val="en-GB" w:eastAsia="en-US"/>
                    </w:rPr>
                    <w:t>ConocoPhillips Optimized Cascade®</w:t>
                  </w:r>
                </w:p>
              </w:tc>
            </w:tr>
            <w:tr w:rsidR="00D915DD" w:rsidRPr="00AE7E23" w:rsidTr="00A83DA6">
              <w:trPr>
                <w:cnfStyle w:val="000000010000"/>
                <w:trHeight w:val="246"/>
              </w:trPr>
              <w:tc>
                <w:tcPr>
                  <w:tcW w:w="1160" w:type="dxa"/>
                  <w:vAlign w:val="center"/>
                </w:tcPr>
                <w:p w:rsidR="00D915DD" w:rsidRPr="00AE7E23" w:rsidRDefault="00D915DD" w:rsidP="00D915DD">
                  <w:pPr>
                    <w:rPr>
                      <w:rFonts w:cs="Arial"/>
                      <w:color w:val="141313"/>
                      <w:sz w:val="16"/>
                      <w:szCs w:val="16"/>
                    </w:rPr>
                  </w:pPr>
                  <w:r w:rsidRPr="00AE7E23">
                    <w:rPr>
                      <w:rFonts w:cs="Arial"/>
                      <w:color w:val="141313"/>
                      <w:sz w:val="16"/>
                      <w:szCs w:val="16"/>
                    </w:rPr>
                    <w:t>Malaysia</w:t>
                  </w:r>
                </w:p>
              </w:tc>
              <w:tc>
                <w:tcPr>
                  <w:tcW w:w="1800" w:type="dxa"/>
                  <w:vAlign w:val="center"/>
                </w:tcPr>
                <w:p w:rsidR="00D915DD" w:rsidRPr="00AE7E23" w:rsidRDefault="00D915DD" w:rsidP="00D915DD">
                  <w:pPr>
                    <w:rPr>
                      <w:rFonts w:cs="Arial"/>
                      <w:color w:val="141313"/>
                      <w:sz w:val="16"/>
                      <w:szCs w:val="16"/>
                    </w:rPr>
                  </w:pPr>
                  <w:r w:rsidRPr="00AE7E23">
                    <w:rPr>
                      <w:rFonts w:cs="Arial"/>
                      <w:color w:val="141313"/>
                      <w:sz w:val="16"/>
                      <w:szCs w:val="16"/>
                    </w:rPr>
                    <w:t>MLNG Tiga (T1-2)</w:t>
                  </w:r>
                </w:p>
              </w:tc>
              <w:tc>
                <w:tcPr>
                  <w:tcW w:w="63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2003</w:t>
                  </w:r>
                </w:p>
              </w:tc>
              <w:tc>
                <w:tcPr>
                  <w:tcW w:w="1080" w:type="dxa"/>
                  <w:vAlign w:val="center"/>
                </w:tcPr>
                <w:p w:rsidR="00D915DD" w:rsidRPr="00AE7E23" w:rsidRDefault="00D915DD" w:rsidP="00D915DD">
                  <w:pPr>
                    <w:jc w:val="center"/>
                    <w:rPr>
                      <w:rFonts w:cs="Arial"/>
                      <w:color w:val="141313"/>
                      <w:sz w:val="16"/>
                      <w:szCs w:val="16"/>
                    </w:rPr>
                  </w:pPr>
                  <w:r w:rsidRPr="00AE7E23">
                    <w:rPr>
                      <w:rFonts w:cs="Arial"/>
                      <w:color w:val="141313"/>
                      <w:sz w:val="16"/>
                      <w:szCs w:val="16"/>
                    </w:rPr>
                    <w:t>6.8</w:t>
                  </w:r>
                </w:p>
              </w:tc>
              <w:tc>
                <w:tcPr>
                  <w:tcW w:w="3420" w:type="dxa"/>
                  <w:vAlign w:val="center"/>
                </w:tcPr>
                <w:p w:rsidR="00D915DD" w:rsidRDefault="00D915DD" w:rsidP="00D915DD">
                  <w:pPr>
                    <w:rPr>
                      <w:rFonts w:cs="Arial"/>
                      <w:color w:val="141313"/>
                      <w:sz w:val="16"/>
                      <w:szCs w:val="16"/>
                      <w:lang w:val="es-ES"/>
                    </w:rPr>
                  </w:pPr>
                  <w:r>
                    <w:rPr>
                      <w:rFonts w:cs="Arial"/>
                      <w:color w:val="141313"/>
                      <w:sz w:val="16"/>
                      <w:szCs w:val="16"/>
                      <w:lang w:val="es-ES"/>
                    </w:rPr>
                    <w:t xml:space="preserve">PETRONAS, Shell, </w:t>
                  </w:r>
                  <w:proofErr w:type="spellStart"/>
                  <w:r>
                    <w:rPr>
                      <w:rFonts w:cs="Arial"/>
                      <w:color w:val="141313"/>
                      <w:sz w:val="16"/>
                      <w:szCs w:val="16"/>
                      <w:lang w:val="es-ES"/>
                    </w:rPr>
                    <w:t>Nippon</w:t>
                  </w:r>
                  <w:proofErr w:type="spellEnd"/>
                  <w:r>
                    <w:rPr>
                      <w:rFonts w:cs="Arial"/>
                      <w:color w:val="141313"/>
                      <w:sz w:val="16"/>
                      <w:szCs w:val="16"/>
                      <w:lang w:val="es-ES"/>
                    </w:rPr>
                    <w:t xml:space="preserve">, Sarawak </w:t>
                  </w:r>
                  <w:r w:rsidRPr="00157B9F">
                    <w:rPr>
                      <w:rFonts w:cs="Arial"/>
                      <w:color w:val="141313"/>
                      <w:sz w:val="16"/>
                      <w:szCs w:val="16"/>
                    </w:rPr>
                    <w:t>State government</w:t>
                  </w:r>
                  <w:r>
                    <w:rPr>
                      <w:rFonts w:cs="Arial"/>
                      <w:color w:val="141313"/>
                      <w:sz w:val="16"/>
                      <w:szCs w:val="16"/>
                      <w:lang w:val="es-ES"/>
                    </w:rPr>
                    <w:t>, Mitsubishi</w:t>
                  </w:r>
                </w:p>
              </w:tc>
              <w:tc>
                <w:tcPr>
                  <w:tcW w:w="1980" w:type="dxa"/>
                  <w:vAlign w:val="center"/>
                </w:tcPr>
                <w:p w:rsidR="00D915DD" w:rsidRPr="00AE7E23" w:rsidRDefault="00D915DD" w:rsidP="00D915DD">
                  <w:pPr>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lastRenderedPageBreak/>
                    <w:t>Trinidad</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ALNG T3</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2003</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3.5</w:t>
                  </w:r>
                </w:p>
              </w:tc>
              <w:tc>
                <w:tcPr>
                  <w:tcW w:w="3420" w:type="dxa"/>
                  <w:vAlign w:val="center"/>
                </w:tcPr>
                <w:p w:rsidR="00A95AB6" w:rsidRDefault="00A95AB6" w:rsidP="00A95AB6">
                  <w:pPr>
                    <w:rPr>
                      <w:rFonts w:cs="Arial"/>
                      <w:color w:val="141313"/>
                      <w:sz w:val="16"/>
                      <w:szCs w:val="16"/>
                      <w:lang w:val="es-ES"/>
                    </w:rPr>
                  </w:pPr>
                  <w:r>
                    <w:rPr>
                      <w:rFonts w:cs="Arial"/>
                      <w:color w:val="141313"/>
                      <w:sz w:val="16"/>
                      <w:szCs w:val="16"/>
                      <w:lang w:val="es-ES"/>
                    </w:rPr>
                    <w:t>BP, BG, Shell</w:t>
                  </w:r>
                </w:p>
              </w:tc>
              <w:tc>
                <w:tcPr>
                  <w:tcW w:w="1980" w:type="dxa"/>
                  <w:vAlign w:val="center"/>
                </w:tcPr>
                <w:p w:rsidR="00A95AB6" w:rsidRPr="00AE7E23" w:rsidRDefault="00A95AB6" w:rsidP="00A95AB6">
                  <w:pPr>
                    <w:jc w:val="center"/>
                    <w:rPr>
                      <w:rFonts w:cs="Arial"/>
                      <w:sz w:val="16"/>
                      <w:szCs w:val="16"/>
                      <w:lang w:val="en-GB" w:eastAsia="en-US"/>
                    </w:rPr>
                  </w:pPr>
                  <w:r w:rsidRPr="00AE7E23">
                    <w:rPr>
                      <w:rFonts w:cs="Arial"/>
                      <w:sz w:val="16"/>
                      <w:szCs w:val="16"/>
                      <w:lang w:val="en-GB" w:eastAsia="en-US"/>
                    </w:rPr>
                    <w:t>ConocoPhillips Optimized Cascade®</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Australia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North West Shelf T4</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2004</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4.4</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BHP Billiton, BP, Chevron, Shell, Woodside, Mitsubishi, Mitsui</w:t>
                  </w:r>
                </w:p>
              </w:tc>
              <w:tc>
                <w:tcPr>
                  <w:tcW w:w="1980" w:type="dxa"/>
                  <w:vAlign w:val="center"/>
                </w:tcPr>
                <w:p w:rsidR="00A95AB6" w:rsidRPr="00AE7E23" w:rsidRDefault="00A95AB6" w:rsidP="00A95AB6">
                  <w:pPr>
                    <w:jc w:val="center"/>
                    <w:rPr>
                      <w:rFonts w:cs="Arial"/>
                      <w:b/>
                      <w:sz w:val="16"/>
                      <w:szCs w:val="16"/>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RasGas</w:t>
                  </w:r>
                  <w:proofErr w:type="spellEnd"/>
                  <w:r w:rsidRPr="00AE7E23">
                    <w:rPr>
                      <w:rFonts w:cs="Arial"/>
                      <w:color w:val="141313"/>
                      <w:sz w:val="16"/>
                      <w:szCs w:val="16"/>
                    </w:rPr>
                    <w:t xml:space="preserve"> II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2004</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4.7</w:t>
                  </w:r>
                </w:p>
              </w:tc>
              <w:tc>
                <w:tcPr>
                  <w:tcW w:w="3420" w:type="dxa"/>
                  <w:vAlign w:val="center"/>
                </w:tcPr>
                <w:p w:rsidR="00A95AB6" w:rsidRDefault="00A95AB6" w:rsidP="00A95AB6">
                  <w:pPr>
                    <w:rPr>
                      <w:rFonts w:cs="Arial"/>
                      <w:color w:val="141313"/>
                      <w:sz w:val="16"/>
                      <w:szCs w:val="16"/>
                      <w:lang w:val="es-ES"/>
                    </w:rPr>
                  </w:pPr>
                  <w:r>
                    <w:rPr>
                      <w:rFonts w:cs="Arial"/>
                      <w:color w:val="141313"/>
                      <w:sz w:val="16"/>
                      <w:szCs w:val="16"/>
                      <w:lang w:val="es-ES"/>
                    </w:rPr>
                    <w:t xml:space="preserve">Qatar </w:t>
                  </w:r>
                  <w:proofErr w:type="spellStart"/>
                  <w:r>
                    <w:rPr>
                      <w:rFonts w:cs="Arial"/>
                      <w:color w:val="141313"/>
                      <w:sz w:val="16"/>
                      <w:szCs w:val="16"/>
                      <w:lang w:val="es-ES"/>
                    </w:rPr>
                    <w:t>Petroleum</w:t>
                  </w:r>
                  <w:proofErr w:type="spellEnd"/>
                  <w:r>
                    <w:rPr>
                      <w:rFonts w:cs="Arial"/>
                      <w:color w:val="141313"/>
                      <w:sz w:val="16"/>
                      <w:szCs w:val="16"/>
                      <w:lang w:val="es-ES"/>
                    </w:rPr>
                    <w:t xml:space="preserve">, </w:t>
                  </w:r>
                  <w:proofErr w:type="spellStart"/>
                  <w:r>
                    <w:rPr>
                      <w:rFonts w:cs="Arial"/>
                      <w:color w:val="141313"/>
                      <w:sz w:val="16"/>
                      <w:szCs w:val="16"/>
                      <w:lang w:val="es-ES"/>
                    </w:rPr>
                    <w:t>ExxonMobil</w:t>
                  </w:r>
                  <w:proofErr w:type="spellEnd"/>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AE7E23" w:rsidRDefault="00A95AB6" w:rsidP="00A95AB6">
                  <w:pPr>
                    <w:jc w:val="center"/>
                    <w:rPr>
                      <w:rFonts w:cs="Arial"/>
                      <w:sz w:val="16"/>
                      <w:szCs w:val="16"/>
                      <w:lang w:val="en-GB" w:eastAsia="en-US"/>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Egypt</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ELNG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2005</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3.6</w:t>
                  </w:r>
                </w:p>
              </w:tc>
              <w:tc>
                <w:tcPr>
                  <w:tcW w:w="3420" w:type="dxa"/>
                  <w:vAlign w:val="center"/>
                </w:tcPr>
                <w:p w:rsidR="00A95AB6" w:rsidRDefault="00A95AB6" w:rsidP="00A4184D">
                  <w:pPr>
                    <w:rPr>
                      <w:rFonts w:cs="Arial"/>
                      <w:color w:val="141313"/>
                      <w:sz w:val="16"/>
                      <w:szCs w:val="16"/>
                      <w:lang w:val="es-ES"/>
                    </w:rPr>
                  </w:pPr>
                  <w:r>
                    <w:rPr>
                      <w:rFonts w:cs="Arial"/>
                      <w:color w:val="141313"/>
                      <w:sz w:val="16"/>
                      <w:szCs w:val="16"/>
                      <w:lang w:val="es-ES"/>
                    </w:rPr>
                    <w:t xml:space="preserve">BG, PETRONAS, EGAS, EGPC, GDF </w:t>
                  </w:r>
                  <w:r w:rsidR="00A4184D">
                    <w:rPr>
                      <w:rFonts w:cs="Arial"/>
                      <w:color w:val="141313"/>
                      <w:sz w:val="16"/>
                      <w:szCs w:val="16"/>
                      <w:lang w:val="es-ES"/>
                    </w:rPr>
                    <w:t>SUEZ</w:t>
                  </w:r>
                </w:p>
              </w:tc>
              <w:tc>
                <w:tcPr>
                  <w:tcW w:w="1980" w:type="dxa"/>
                </w:tcPr>
                <w:p w:rsidR="00A95AB6" w:rsidRDefault="00A95AB6" w:rsidP="00A95AB6">
                  <w:pPr>
                    <w:jc w:val="center"/>
                  </w:pPr>
                  <w:r w:rsidRPr="00BC083E">
                    <w:rPr>
                      <w:rFonts w:cs="Arial"/>
                      <w:sz w:val="16"/>
                      <w:szCs w:val="16"/>
                      <w:lang w:val="en-GB" w:eastAsia="en-US"/>
                    </w:rPr>
                    <w:t>ConocoPhillips Optimized Cascade®</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Egypt</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ELNG T2</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2005</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3.6</w:t>
                  </w:r>
                </w:p>
              </w:tc>
              <w:tc>
                <w:tcPr>
                  <w:tcW w:w="3420" w:type="dxa"/>
                  <w:vAlign w:val="center"/>
                </w:tcPr>
                <w:p w:rsidR="00A95AB6" w:rsidRDefault="00A95AB6" w:rsidP="00A95AB6">
                  <w:pPr>
                    <w:rPr>
                      <w:rFonts w:cs="Arial"/>
                      <w:color w:val="141313"/>
                      <w:sz w:val="16"/>
                      <w:szCs w:val="16"/>
                      <w:lang w:val="es-ES"/>
                    </w:rPr>
                  </w:pPr>
                  <w:r>
                    <w:rPr>
                      <w:rFonts w:cs="Arial"/>
                      <w:color w:val="141313"/>
                      <w:sz w:val="16"/>
                      <w:szCs w:val="16"/>
                      <w:lang w:val="es-ES"/>
                    </w:rPr>
                    <w:t>BG, PETRONAS, EGAS, EGPC</w:t>
                  </w:r>
                </w:p>
              </w:tc>
              <w:tc>
                <w:tcPr>
                  <w:tcW w:w="1980" w:type="dxa"/>
                </w:tcPr>
                <w:p w:rsidR="00A95AB6" w:rsidRDefault="00A95AB6" w:rsidP="00A95AB6">
                  <w:pPr>
                    <w:jc w:val="center"/>
                  </w:pPr>
                  <w:r w:rsidRPr="00BC083E">
                    <w:rPr>
                      <w:rFonts w:cs="Arial"/>
                      <w:sz w:val="16"/>
                      <w:szCs w:val="16"/>
                      <w:lang w:val="en-GB" w:eastAsia="en-US"/>
                    </w:rPr>
                    <w:t>ConocoPhillips Optimized Cascade®</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Egypt</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SEGAS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2005</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5</w:t>
                  </w:r>
                </w:p>
              </w:tc>
              <w:tc>
                <w:tcPr>
                  <w:tcW w:w="3420" w:type="dxa"/>
                  <w:vAlign w:val="center"/>
                </w:tcPr>
                <w:p w:rsidR="00A95AB6" w:rsidRDefault="00A4184D" w:rsidP="00A95AB6">
                  <w:pPr>
                    <w:rPr>
                      <w:rFonts w:cs="Arial"/>
                      <w:color w:val="141313"/>
                      <w:sz w:val="16"/>
                      <w:szCs w:val="16"/>
                      <w:lang w:val="es-ES"/>
                    </w:rPr>
                  </w:pPr>
                  <w:r>
                    <w:rPr>
                      <w:rFonts w:cs="Arial"/>
                      <w:color w:val="141313"/>
                      <w:sz w:val="16"/>
                      <w:szCs w:val="16"/>
                      <w:lang w:val="es-ES"/>
                    </w:rPr>
                    <w:t>Gas Natural Fenosa, Eni</w:t>
                  </w:r>
                  <w:r w:rsidR="00A95AB6">
                    <w:rPr>
                      <w:rFonts w:cs="Arial"/>
                      <w:color w:val="141313"/>
                      <w:sz w:val="16"/>
                      <w:szCs w:val="16"/>
                      <w:lang w:val="es-ES"/>
                    </w:rPr>
                    <w:t>, EGPC, EGAS</w:t>
                  </w:r>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AE7E23" w:rsidRDefault="00A95AB6" w:rsidP="00A95AB6">
                  <w:pPr>
                    <w:jc w:val="center"/>
                    <w:rPr>
                      <w:rFonts w:cs="Arial"/>
                      <w:sz w:val="16"/>
                      <w:szCs w:val="16"/>
                      <w:lang w:val="en-GB" w:eastAsia="en-US"/>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RasGas</w:t>
                  </w:r>
                  <w:proofErr w:type="spellEnd"/>
                  <w:r w:rsidRPr="00AE7E23">
                    <w:rPr>
                      <w:rFonts w:cs="Arial"/>
                      <w:color w:val="141313"/>
                      <w:sz w:val="16"/>
                      <w:szCs w:val="16"/>
                    </w:rPr>
                    <w:t xml:space="preserve"> II (T2)</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2005</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4.7</w:t>
                  </w:r>
                </w:p>
              </w:tc>
              <w:tc>
                <w:tcPr>
                  <w:tcW w:w="3420" w:type="dxa"/>
                  <w:vAlign w:val="center"/>
                </w:tcPr>
                <w:p w:rsidR="00A95AB6" w:rsidRDefault="00A95AB6" w:rsidP="00A95AB6">
                  <w:pPr>
                    <w:rPr>
                      <w:rFonts w:cs="Arial"/>
                      <w:color w:val="141313"/>
                      <w:sz w:val="16"/>
                      <w:szCs w:val="16"/>
                      <w:lang w:val="es-ES"/>
                    </w:rPr>
                  </w:pPr>
                  <w:r>
                    <w:rPr>
                      <w:rFonts w:cs="Arial"/>
                      <w:color w:val="141313"/>
                      <w:sz w:val="16"/>
                      <w:szCs w:val="16"/>
                      <w:lang w:val="es-ES"/>
                    </w:rPr>
                    <w:t xml:space="preserve">Qatar </w:t>
                  </w:r>
                  <w:proofErr w:type="spellStart"/>
                  <w:r>
                    <w:rPr>
                      <w:rFonts w:cs="Arial"/>
                      <w:color w:val="141313"/>
                      <w:sz w:val="16"/>
                      <w:szCs w:val="16"/>
                      <w:lang w:val="es-ES"/>
                    </w:rPr>
                    <w:t>Petroleum</w:t>
                  </w:r>
                  <w:proofErr w:type="spellEnd"/>
                  <w:r>
                    <w:rPr>
                      <w:rFonts w:cs="Arial"/>
                      <w:color w:val="141313"/>
                      <w:sz w:val="16"/>
                      <w:szCs w:val="16"/>
                      <w:lang w:val="es-ES"/>
                    </w:rPr>
                    <w:t xml:space="preserve">, </w:t>
                  </w:r>
                  <w:proofErr w:type="spellStart"/>
                  <w:r>
                    <w:rPr>
                      <w:rFonts w:cs="Arial"/>
                      <w:color w:val="141313"/>
                      <w:sz w:val="16"/>
                      <w:szCs w:val="16"/>
                      <w:lang w:val="es-ES"/>
                    </w:rPr>
                    <w:t>ExxonMobil</w:t>
                  </w:r>
                  <w:proofErr w:type="spellEnd"/>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AE7E23" w:rsidRDefault="00A95AB6" w:rsidP="00A95AB6">
                  <w:pPr>
                    <w:jc w:val="center"/>
                    <w:rPr>
                      <w:rFonts w:cs="Arial"/>
                      <w:sz w:val="16"/>
                      <w:szCs w:val="16"/>
                      <w:lang w:val="en-GB" w:eastAsia="en-US"/>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Australia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Darwin LNG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2006</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3.6</w:t>
                  </w:r>
                </w:p>
              </w:tc>
              <w:tc>
                <w:tcPr>
                  <w:tcW w:w="3420" w:type="dxa"/>
                  <w:vAlign w:val="center"/>
                </w:tcPr>
                <w:p w:rsidR="00A95AB6" w:rsidRDefault="00A95AB6" w:rsidP="00A95AB6">
                  <w:pPr>
                    <w:rPr>
                      <w:rFonts w:cs="Arial"/>
                      <w:color w:val="141313"/>
                      <w:sz w:val="16"/>
                      <w:szCs w:val="16"/>
                    </w:rPr>
                  </w:pPr>
                  <w:proofErr w:type="spellStart"/>
                  <w:r>
                    <w:rPr>
                      <w:rFonts w:cs="Arial"/>
                      <w:color w:val="141313"/>
                      <w:sz w:val="16"/>
                      <w:szCs w:val="16"/>
                      <w:lang w:val="es-ES"/>
                    </w:rPr>
                    <w:t>ConocoPhillips</w:t>
                  </w:r>
                  <w:proofErr w:type="spellEnd"/>
                  <w:r>
                    <w:rPr>
                      <w:rFonts w:cs="Arial"/>
                      <w:color w:val="141313"/>
                      <w:sz w:val="16"/>
                      <w:szCs w:val="16"/>
                      <w:lang w:val="es-ES"/>
                    </w:rPr>
                    <w:t xml:space="preserve">, Santos, INPEX, </w:t>
                  </w:r>
                  <w:proofErr w:type="spellStart"/>
                  <w:r>
                    <w:rPr>
                      <w:rFonts w:cs="Arial"/>
                      <w:color w:val="141313"/>
                      <w:sz w:val="16"/>
                      <w:szCs w:val="16"/>
                      <w:lang w:val="es-ES"/>
                    </w:rPr>
                    <w:t>Eni</w:t>
                  </w:r>
                  <w:proofErr w:type="spellEnd"/>
                  <w:r>
                    <w:rPr>
                      <w:rFonts w:cs="Arial"/>
                      <w:color w:val="141313"/>
                      <w:sz w:val="16"/>
                      <w:szCs w:val="16"/>
                      <w:lang w:val="es-ES"/>
                    </w:rPr>
                    <w:t xml:space="preserve">, TEPCO, </w:t>
                  </w:r>
                  <w:proofErr w:type="spellStart"/>
                  <w:r>
                    <w:rPr>
                      <w:rFonts w:cs="Arial"/>
                      <w:color w:val="141313"/>
                      <w:sz w:val="16"/>
                      <w:szCs w:val="16"/>
                      <w:lang w:val="es-ES"/>
                    </w:rPr>
                    <w:t>Tokyo</w:t>
                  </w:r>
                  <w:proofErr w:type="spellEnd"/>
                  <w:r>
                    <w:rPr>
                      <w:rFonts w:cs="Arial"/>
                      <w:color w:val="141313"/>
                      <w:sz w:val="16"/>
                      <w:szCs w:val="16"/>
                      <w:lang w:val="es-ES"/>
                    </w:rPr>
                    <w:t xml:space="preserve"> Gas</w:t>
                  </w:r>
                </w:p>
              </w:tc>
              <w:tc>
                <w:tcPr>
                  <w:tcW w:w="1980" w:type="dxa"/>
                  <w:vAlign w:val="center"/>
                </w:tcPr>
                <w:p w:rsidR="00A95AB6" w:rsidRPr="00AE7E23" w:rsidRDefault="00A95AB6" w:rsidP="00A95AB6">
                  <w:pPr>
                    <w:jc w:val="center"/>
                    <w:rPr>
                      <w:rFonts w:cs="Arial"/>
                      <w:b/>
                      <w:sz w:val="16"/>
                      <w:szCs w:val="16"/>
                    </w:rPr>
                  </w:pPr>
                  <w:r w:rsidRPr="00AE7E23">
                    <w:rPr>
                      <w:rFonts w:cs="Arial"/>
                      <w:sz w:val="16"/>
                      <w:szCs w:val="16"/>
                      <w:lang w:val="en-GB" w:eastAsia="en-US"/>
                    </w:rPr>
                    <w:t>ConocoPhillips Optimized Cascade®</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Nigeria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NLNG T4</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2006</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4.1</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NNPC, Shell, TOTAL, Eni</w:t>
                  </w:r>
                </w:p>
              </w:tc>
              <w:tc>
                <w:tcPr>
                  <w:tcW w:w="1980" w:type="dxa"/>
                  <w:vAlign w:val="center"/>
                </w:tcPr>
                <w:p w:rsidR="00A95AB6" w:rsidRPr="00AE7E23" w:rsidRDefault="00A95AB6" w:rsidP="00A95AB6">
                  <w:pPr>
                    <w:widowControl/>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Nigeria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NLNG T5</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2006</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4.1</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NNPC, Shell, TOTAL, Eni</w:t>
                  </w:r>
                </w:p>
              </w:tc>
              <w:tc>
                <w:tcPr>
                  <w:tcW w:w="1980" w:type="dxa"/>
                  <w:vAlign w:val="center"/>
                </w:tcPr>
                <w:p w:rsidR="00A95AB6" w:rsidRPr="00AE7E23" w:rsidRDefault="00A95AB6" w:rsidP="00A95AB6">
                  <w:pPr>
                    <w:widowControl/>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Oman</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Qalhat</w:t>
                  </w:r>
                  <w:proofErr w:type="spellEnd"/>
                  <w:r w:rsidRPr="00AE7E23">
                    <w:rPr>
                      <w:rFonts w:cs="Arial"/>
                      <w:color w:val="141313"/>
                      <w:sz w:val="16"/>
                      <w:szCs w:val="16"/>
                    </w:rPr>
                    <w:t xml:space="preserve"> LNG</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2006</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3.7</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 xml:space="preserve">Omani Govt, Petroleum Development Oman (PDO), Shell, Mitsubishi, Gas Natural </w:t>
                  </w:r>
                  <w:proofErr w:type="spellStart"/>
                  <w:r>
                    <w:rPr>
                      <w:rFonts w:cs="Arial"/>
                      <w:color w:val="141313"/>
                      <w:sz w:val="16"/>
                      <w:szCs w:val="16"/>
                      <w:lang w:val="en-GB"/>
                    </w:rPr>
                    <w:t>Fenosa</w:t>
                  </w:r>
                  <w:proofErr w:type="spellEnd"/>
                  <w:r>
                    <w:rPr>
                      <w:rFonts w:cs="Arial"/>
                      <w:color w:val="141313"/>
                      <w:sz w:val="16"/>
                      <w:szCs w:val="16"/>
                      <w:lang w:val="en-GB"/>
                    </w:rPr>
                    <w:t xml:space="preserve">, </w:t>
                  </w:r>
                  <w:proofErr w:type="spellStart"/>
                  <w:r>
                    <w:rPr>
                      <w:rFonts w:cs="Arial"/>
                      <w:color w:val="141313"/>
                      <w:sz w:val="16"/>
                      <w:szCs w:val="16"/>
                      <w:lang w:val="en-GB"/>
                    </w:rPr>
                    <w:t>Eni</w:t>
                  </w:r>
                  <w:proofErr w:type="spellEnd"/>
                  <w:r>
                    <w:rPr>
                      <w:rFonts w:cs="Arial"/>
                      <w:color w:val="141313"/>
                      <w:sz w:val="16"/>
                      <w:szCs w:val="16"/>
                      <w:lang w:val="en-GB"/>
                    </w:rPr>
                    <w:t xml:space="preserve">, Itochu, Osaka Gas, TOTAL, Korea LNG, Mitsui, </w:t>
                  </w:r>
                  <w:proofErr w:type="spellStart"/>
                  <w:r>
                    <w:rPr>
                      <w:rFonts w:cs="Arial"/>
                      <w:color w:val="141313"/>
                      <w:sz w:val="16"/>
                      <w:szCs w:val="16"/>
                      <w:lang w:val="en-GB"/>
                    </w:rPr>
                    <w:t>Partex</w:t>
                  </w:r>
                  <w:proofErr w:type="spellEnd"/>
                </w:p>
              </w:tc>
              <w:tc>
                <w:tcPr>
                  <w:tcW w:w="1980" w:type="dxa"/>
                  <w:vAlign w:val="center"/>
                </w:tcPr>
                <w:p w:rsidR="00A95AB6" w:rsidRPr="00AE7E23" w:rsidRDefault="00A95AB6" w:rsidP="00A95AB6">
                  <w:pPr>
                    <w:jc w:val="center"/>
                    <w:rPr>
                      <w:rFonts w:cs="Arial"/>
                      <w:b/>
                      <w:sz w:val="16"/>
                      <w:szCs w:val="16"/>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Trinidad</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ALNG T4</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2006</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5.2</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s-ES"/>
                    </w:rPr>
                    <w:t>BP, BG, Repsol**, NGC Trinidad</w:t>
                  </w:r>
                </w:p>
              </w:tc>
              <w:tc>
                <w:tcPr>
                  <w:tcW w:w="1980" w:type="dxa"/>
                  <w:vAlign w:val="center"/>
                </w:tcPr>
                <w:p w:rsidR="00A95AB6" w:rsidRPr="00AE7E23" w:rsidRDefault="00A95AB6" w:rsidP="00A95AB6">
                  <w:pPr>
                    <w:widowControl/>
                    <w:jc w:val="center"/>
                    <w:rPr>
                      <w:rFonts w:cs="Arial"/>
                      <w:sz w:val="16"/>
                      <w:szCs w:val="16"/>
                      <w:lang w:val="en-GB" w:eastAsia="en-US"/>
                    </w:rPr>
                  </w:pPr>
                  <w:r w:rsidRPr="00AE7E23">
                    <w:rPr>
                      <w:rFonts w:cs="Arial"/>
                      <w:sz w:val="16"/>
                      <w:szCs w:val="16"/>
                      <w:lang w:val="en-GB" w:eastAsia="en-US"/>
                    </w:rPr>
                    <w:t>ConocoPhillips Optimized Cascade®</w:t>
                  </w:r>
                </w:p>
              </w:tc>
            </w:tr>
            <w:tr w:rsidR="00A95AB6" w:rsidRPr="00AE7E23" w:rsidTr="00A83DA6">
              <w:trPr>
                <w:cnfStyle w:val="000000100000"/>
                <w:trHeight w:val="43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Equatorial Guinea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EG LNG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2007</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3.7</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it-IT"/>
                    </w:rPr>
                    <w:t>Marathon, Sonagas, Mitsui, Marubeni</w:t>
                  </w:r>
                </w:p>
              </w:tc>
              <w:tc>
                <w:tcPr>
                  <w:tcW w:w="1980" w:type="dxa"/>
                  <w:vAlign w:val="center"/>
                </w:tcPr>
                <w:p w:rsidR="00A95AB6" w:rsidRPr="00AE7E23" w:rsidRDefault="00A95AB6" w:rsidP="00A95AB6">
                  <w:pPr>
                    <w:widowControl/>
                    <w:jc w:val="center"/>
                    <w:rPr>
                      <w:rFonts w:cs="Arial"/>
                      <w:sz w:val="16"/>
                      <w:szCs w:val="16"/>
                      <w:lang w:val="en-GB" w:eastAsia="en-US"/>
                    </w:rPr>
                  </w:pPr>
                  <w:r w:rsidRPr="00AE7E23">
                    <w:rPr>
                      <w:rFonts w:cs="Arial"/>
                      <w:sz w:val="16"/>
                      <w:szCs w:val="16"/>
                      <w:lang w:val="en-GB" w:eastAsia="en-US"/>
                    </w:rPr>
                    <w:t>ConocoPhillips Optimized Cascade®</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Norway</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Snøhvit LNG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2007</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4.2</w:t>
                  </w:r>
                </w:p>
              </w:tc>
              <w:tc>
                <w:tcPr>
                  <w:tcW w:w="3420" w:type="dxa"/>
                  <w:vAlign w:val="center"/>
                </w:tcPr>
                <w:p w:rsidR="00A95AB6" w:rsidRDefault="00A95AB6" w:rsidP="00A95AB6">
                  <w:pPr>
                    <w:rPr>
                      <w:rFonts w:cs="Arial"/>
                      <w:color w:val="141313"/>
                      <w:sz w:val="16"/>
                      <w:szCs w:val="16"/>
                    </w:rPr>
                  </w:pPr>
                  <w:proofErr w:type="spellStart"/>
                  <w:r>
                    <w:rPr>
                      <w:rFonts w:cs="Arial"/>
                      <w:color w:val="141313"/>
                      <w:sz w:val="16"/>
                      <w:szCs w:val="16"/>
                      <w:lang w:val="es-ES"/>
                    </w:rPr>
                    <w:t>Statoil</w:t>
                  </w:r>
                  <w:proofErr w:type="spellEnd"/>
                  <w:r>
                    <w:rPr>
                      <w:rFonts w:cs="Arial"/>
                      <w:color w:val="141313"/>
                      <w:sz w:val="16"/>
                      <w:szCs w:val="16"/>
                      <w:lang w:val="es-ES"/>
                    </w:rPr>
                    <w:t xml:space="preserve">, </w:t>
                  </w:r>
                  <w:proofErr w:type="spellStart"/>
                  <w:r>
                    <w:rPr>
                      <w:rFonts w:cs="Arial"/>
                      <w:color w:val="141313"/>
                      <w:sz w:val="16"/>
                      <w:szCs w:val="16"/>
                      <w:lang w:val="es-ES"/>
                    </w:rPr>
                    <w:t>Petoro</w:t>
                  </w:r>
                  <w:proofErr w:type="spellEnd"/>
                  <w:r>
                    <w:rPr>
                      <w:rFonts w:cs="Arial"/>
                      <w:color w:val="141313"/>
                      <w:sz w:val="16"/>
                      <w:szCs w:val="16"/>
                      <w:lang w:val="es-ES"/>
                    </w:rPr>
                    <w:t>, TOTAL, GDF SUEZ, RWE</w:t>
                  </w:r>
                </w:p>
              </w:tc>
              <w:tc>
                <w:tcPr>
                  <w:tcW w:w="1980" w:type="dxa"/>
                  <w:vAlign w:val="center"/>
                </w:tcPr>
                <w:p w:rsidR="00A95AB6" w:rsidRPr="00AE7E23" w:rsidRDefault="00A95AB6" w:rsidP="00A95AB6">
                  <w:pPr>
                    <w:widowControl/>
                    <w:jc w:val="center"/>
                    <w:rPr>
                      <w:rFonts w:cs="Arial"/>
                      <w:sz w:val="16"/>
                      <w:szCs w:val="16"/>
                      <w:lang w:val="en-GB" w:eastAsia="en-US"/>
                    </w:rPr>
                  </w:pPr>
                  <w:proofErr w:type="spellStart"/>
                  <w:r w:rsidRPr="00AE7E23">
                    <w:rPr>
                      <w:rFonts w:cs="Arial"/>
                      <w:sz w:val="16"/>
                      <w:szCs w:val="16"/>
                      <w:lang w:val="en-GB" w:eastAsia="en-US"/>
                    </w:rPr>
                    <w:t>Linde</w:t>
                  </w:r>
                  <w:proofErr w:type="spellEnd"/>
                  <w:r w:rsidRPr="00AE7E23">
                    <w:rPr>
                      <w:rFonts w:cs="Arial"/>
                      <w:sz w:val="16"/>
                      <w:szCs w:val="16"/>
                      <w:lang w:val="en-GB" w:eastAsia="en-US"/>
                    </w:rPr>
                    <w:t xml:space="preserve"> MFC</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RasGas</w:t>
                  </w:r>
                  <w:proofErr w:type="spellEnd"/>
                  <w:r w:rsidRPr="00AE7E23">
                    <w:rPr>
                      <w:rFonts w:cs="Arial"/>
                      <w:color w:val="141313"/>
                      <w:sz w:val="16"/>
                      <w:szCs w:val="16"/>
                    </w:rPr>
                    <w:t xml:space="preserve"> II (T3)</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2007</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4.7</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Qatar Petroleum, ExxonMobil</w:t>
                  </w:r>
                </w:p>
              </w:tc>
              <w:tc>
                <w:tcPr>
                  <w:tcW w:w="1980" w:type="dxa"/>
                  <w:vAlign w:val="center"/>
                </w:tcPr>
                <w:p w:rsidR="00A95AB6" w:rsidRPr="00AE7E23" w:rsidRDefault="00A95AB6" w:rsidP="00A95AB6">
                  <w:pPr>
                    <w:widowControl/>
                    <w:jc w:val="center"/>
                    <w:rPr>
                      <w:rFonts w:cs="Arial"/>
                      <w:sz w:val="16"/>
                      <w:szCs w:val="16"/>
                      <w:lang w:val="en-GB" w:eastAsia="en-US"/>
                    </w:rPr>
                  </w:pPr>
                  <w:r w:rsidRPr="00AE7E23">
                    <w:rPr>
                      <w:rFonts w:cs="Arial"/>
                      <w:sz w:val="16"/>
                      <w:szCs w:val="16"/>
                      <w:lang w:val="en-GB" w:eastAsia="en-US"/>
                    </w:rPr>
                    <w:t xml:space="preserve">APC </w:t>
                  </w:r>
                  <w:r w:rsidRPr="00AE7E23">
                    <w:rPr>
                      <w:i/>
                      <w:sz w:val="16"/>
                      <w:szCs w:val="16"/>
                      <w:lang w:val="en-GB"/>
                    </w:rPr>
                    <w:t>C</w:t>
                  </w:r>
                  <w:r w:rsidRPr="00AE7E23">
                    <w:rPr>
                      <w:i/>
                      <w:sz w:val="16"/>
                      <w:szCs w:val="16"/>
                      <w:vertAlign w:val="subscript"/>
                      <w:lang w:val="en-GB"/>
                    </w:rPr>
                    <w:t>3</w:t>
                  </w:r>
                  <w:r w:rsidRPr="00AE7E23">
                    <w:rPr>
                      <w:i/>
                      <w:sz w:val="16"/>
                      <w:szCs w:val="16"/>
                      <w:lang w:val="en-GB"/>
                    </w:rPr>
                    <w:t>MR</w:t>
                  </w:r>
                  <w:r w:rsidRPr="00AE7E23">
                    <w:rPr>
                      <w:rFonts w:cs="Arial"/>
                      <w:sz w:val="16"/>
                      <w:szCs w:val="16"/>
                      <w:lang w:val="en-GB" w:eastAsia="en-US"/>
                    </w:rPr>
                    <w:t>/</w:t>
                  </w:r>
                </w:p>
                <w:p w:rsidR="00A95AB6" w:rsidRPr="00AE7E23" w:rsidRDefault="00A95AB6" w:rsidP="00A95AB6">
                  <w:pPr>
                    <w:widowControl/>
                    <w:jc w:val="center"/>
                    <w:rPr>
                      <w:rFonts w:cs="Arial"/>
                      <w:sz w:val="16"/>
                      <w:szCs w:val="16"/>
                      <w:lang w:val="en-GB" w:eastAsia="en-US"/>
                    </w:rPr>
                  </w:pPr>
                  <w:r w:rsidRPr="00AE7E23">
                    <w:rPr>
                      <w:rFonts w:cs="Arial"/>
                      <w:sz w:val="16"/>
                      <w:szCs w:val="16"/>
                      <w:lang w:val="en-GB" w:eastAsia="en-US"/>
                    </w:rPr>
                    <w:t>Split MR</w:t>
                  </w:r>
                  <w:r w:rsidRPr="00AE7E23">
                    <w:rPr>
                      <w:sz w:val="16"/>
                      <w:szCs w:val="16"/>
                      <w:lang w:val="en-GB"/>
                    </w:rPr>
                    <w:t>™</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Australia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North West Shelf T5</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2008</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4.4</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BHP Billiton, BP, Chevron, Shell, Woodside, Mitsubishi, Mitsui</w:t>
                  </w:r>
                </w:p>
              </w:tc>
              <w:tc>
                <w:tcPr>
                  <w:tcW w:w="1980" w:type="dxa"/>
                  <w:vAlign w:val="center"/>
                </w:tcPr>
                <w:p w:rsidR="00A95AB6" w:rsidRPr="00AE7E23" w:rsidRDefault="00A95AB6" w:rsidP="00A95AB6">
                  <w:pPr>
                    <w:jc w:val="center"/>
                    <w:rPr>
                      <w:rFonts w:cs="Arial"/>
                      <w:b/>
                      <w:sz w:val="16"/>
                      <w:szCs w:val="16"/>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Nigeria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NLNG T6</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2008</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4.1</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NNPC, Shell, TOTAL, Eni</w:t>
                  </w:r>
                </w:p>
              </w:tc>
              <w:tc>
                <w:tcPr>
                  <w:tcW w:w="1980" w:type="dxa"/>
                  <w:vAlign w:val="center"/>
                </w:tcPr>
                <w:p w:rsidR="00A95AB6" w:rsidRPr="00AE7E23" w:rsidRDefault="00A95AB6" w:rsidP="00A95AB6">
                  <w:pPr>
                    <w:jc w:val="center"/>
                    <w:rPr>
                      <w:rFonts w:cs="Arial"/>
                      <w:b/>
                      <w:sz w:val="16"/>
                      <w:szCs w:val="16"/>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Indonesia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Tangguh LNG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BP, CNOOC, Mitsubishi,  INPEX,  JOGMEC, JX Nippon Oil &amp; Energy, LNG Japan, Talisman Energy, Kanematsu, Mitsui</w:t>
                  </w:r>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2F4AC2" w:rsidRDefault="00A95AB6" w:rsidP="00A95AB6">
                  <w:pPr>
                    <w:widowControl/>
                    <w:jc w:val="center"/>
                    <w:rPr>
                      <w:rFonts w:cs="Arial"/>
                      <w:sz w:val="16"/>
                      <w:szCs w:val="16"/>
                      <w:lang w:val="en-GB" w:eastAsia="en-US"/>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Indonesia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Tangguh LNG T2</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BP, CNOOC, Mitsubishi,  INPEX,  JOGMEC, JX Nippon Oil &amp; Energy, LNG Japan, Talisman Energy, Kanematsu, Mitsui</w:t>
                  </w:r>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2F4AC2" w:rsidRDefault="00A95AB6" w:rsidP="00A95AB6">
                  <w:pPr>
                    <w:widowControl/>
                    <w:jc w:val="center"/>
                    <w:rPr>
                      <w:rFonts w:cs="Arial"/>
                      <w:sz w:val="16"/>
                      <w:szCs w:val="16"/>
                      <w:lang w:val="en-GB" w:eastAsia="en-US"/>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Qatargas</w:t>
                  </w:r>
                  <w:proofErr w:type="spellEnd"/>
                  <w:r w:rsidRPr="00AE7E23">
                    <w:rPr>
                      <w:rFonts w:cs="Arial"/>
                      <w:color w:val="141313"/>
                      <w:sz w:val="16"/>
                      <w:szCs w:val="16"/>
                    </w:rPr>
                    <w:t xml:space="preserve"> II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7.8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Qatar Petroleum, ExxonMobil</w:t>
                  </w:r>
                </w:p>
              </w:tc>
              <w:tc>
                <w:tcPr>
                  <w:tcW w:w="1980" w:type="dxa"/>
                  <w:vAlign w:val="center"/>
                </w:tcPr>
                <w:p w:rsidR="00A95AB6" w:rsidRPr="002F4AC2" w:rsidRDefault="00A95AB6" w:rsidP="00A95AB6">
                  <w:pPr>
                    <w:widowControl/>
                    <w:jc w:val="center"/>
                    <w:rPr>
                      <w:rFonts w:cs="Arial"/>
                      <w:sz w:val="16"/>
                      <w:szCs w:val="16"/>
                      <w:lang w:val="en-GB" w:eastAsia="en-US"/>
                    </w:rPr>
                  </w:pPr>
                  <w:r w:rsidRPr="002F4AC2">
                    <w:rPr>
                      <w:rFonts w:cs="Arial"/>
                      <w:sz w:val="16"/>
                      <w:szCs w:val="16"/>
                      <w:lang w:val="en-GB" w:eastAsia="en-US"/>
                    </w:rPr>
                    <w:t>APC AP-X</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Qatargas</w:t>
                  </w:r>
                  <w:proofErr w:type="spellEnd"/>
                  <w:r w:rsidRPr="00AE7E23">
                    <w:rPr>
                      <w:rFonts w:cs="Arial"/>
                      <w:color w:val="141313"/>
                      <w:sz w:val="16"/>
                      <w:szCs w:val="16"/>
                    </w:rPr>
                    <w:t xml:space="preserve"> II (T2)</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7.8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Qatar Petroleum, ExxonMobil, TOTAL</w:t>
                  </w:r>
                </w:p>
              </w:tc>
              <w:tc>
                <w:tcPr>
                  <w:tcW w:w="1980" w:type="dxa"/>
                  <w:vAlign w:val="center"/>
                </w:tcPr>
                <w:p w:rsidR="00A95AB6" w:rsidRPr="002F4AC2" w:rsidRDefault="00A95AB6" w:rsidP="00A95AB6">
                  <w:pPr>
                    <w:widowControl/>
                    <w:jc w:val="center"/>
                    <w:rPr>
                      <w:rFonts w:cs="Arial"/>
                      <w:sz w:val="16"/>
                      <w:szCs w:val="16"/>
                      <w:lang w:val="en-GB" w:eastAsia="en-US"/>
                    </w:rPr>
                  </w:pPr>
                  <w:r w:rsidRPr="002F4AC2">
                    <w:rPr>
                      <w:rFonts w:cs="Arial"/>
                      <w:sz w:val="16"/>
                      <w:szCs w:val="16"/>
                      <w:lang w:val="en-GB" w:eastAsia="en-US"/>
                    </w:rPr>
                    <w:t>APC AP-X</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RasGas</w:t>
                  </w:r>
                  <w:proofErr w:type="spellEnd"/>
                  <w:r w:rsidRPr="00AE7E23">
                    <w:rPr>
                      <w:rFonts w:cs="Arial"/>
                      <w:color w:val="141313"/>
                      <w:sz w:val="16"/>
                      <w:szCs w:val="16"/>
                    </w:rPr>
                    <w:t xml:space="preserve"> III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7.8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Qatar Petroleum, ExxonMobil</w:t>
                  </w:r>
                </w:p>
              </w:tc>
              <w:tc>
                <w:tcPr>
                  <w:tcW w:w="1980" w:type="dxa"/>
                  <w:vAlign w:val="center"/>
                </w:tcPr>
                <w:p w:rsidR="00A95AB6" w:rsidRPr="002F4AC2" w:rsidRDefault="00A95AB6" w:rsidP="00A95AB6">
                  <w:pPr>
                    <w:widowControl/>
                    <w:jc w:val="center"/>
                    <w:rPr>
                      <w:rFonts w:cs="Arial"/>
                      <w:sz w:val="16"/>
                      <w:szCs w:val="16"/>
                      <w:lang w:val="en-GB" w:eastAsia="en-US"/>
                    </w:rPr>
                  </w:pPr>
                  <w:r w:rsidRPr="002F4AC2">
                    <w:rPr>
                      <w:rFonts w:cs="Arial"/>
                      <w:sz w:val="16"/>
                      <w:szCs w:val="16"/>
                      <w:lang w:val="en-GB" w:eastAsia="en-US"/>
                    </w:rPr>
                    <w:t>APC AP-X</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Russia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Sakhalin 2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Gazprom, Shell, Mitsui, Mitsubishi</w:t>
                  </w:r>
                </w:p>
              </w:tc>
              <w:tc>
                <w:tcPr>
                  <w:tcW w:w="1980" w:type="dxa"/>
                  <w:vAlign w:val="center"/>
                </w:tcPr>
                <w:p w:rsidR="00A95AB6" w:rsidRPr="002F4AC2" w:rsidRDefault="00A95AB6" w:rsidP="00A95AB6">
                  <w:pPr>
                    <w:widowControl/>
                    <w:jc w:val="center"/>
                    <w:rPr>
                      <w:rFonts w:cs="Arial"/>
                      <w:sz w:val="16"/>
                      <w:szCs w:val="16"/>
                      <w:lang w:val="en-GB" w:eastAsia="en-US"/>
                    </w:rPr>
                  </w:pPr>
                  <w:r w:rsidRPr="002F4AC2">
                    <w:rPr>
                      <w:rFonts w:cs="Arial"/>
                      <w:sz w:val="16"/>
                      <w:szCs w:val="16"/>
                      <w:lang w:val="en-GB" w:eastAsia="en-US"/>
                    </w:rPr>
                    <w:t>Shell DMR</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Russia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Sakhalin 2 (T2)</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Gazprom, Shell, Mitsui, Mitsubishi</w:t>
                  </w:r>
                </w:p>
              </w:tc>
              <w:tc>
                <w:tcPr>
                  <w:tcW w:w="1980" w:type="dxa"/>
                  <w:vAlign w:val="center"/>
                </w:tcPr>
                <w:p w:rsidR="00A95AB6" w:rsidRPr="002F4AC2" w:rsidRDefault="00A95AB6" w:rsidP="00A95AB6">
                  <w:pPr>
                    <w:widowControl/>
                    <w:jc w:val="center"/>
                    <w:rPr>
                      <w:rFonts w:cs="Arial"/>
                      <w:sz w:val="16"/>
                      <w:szCs w:val="16"/>
                      <w:lang w:val="en-GB" w:eastAsia="en-US"/>
                    </w:rPr>
                  </w:pPr>
                  <w:r w:rsidRPr="002F4AC2">
                    <w:rPr>
                      <w:rFonts w:cs="Arial"/>
                      <w:sz w:val="16"/>
                      <w:szCs w:val="16"/>
                      <w:lang w:val="en-GB" w:eastAsia="en-US"/>
                    </w:rPr>
                    <w:t>Shell DMR</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Yemen</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Yemen LNG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2009</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3.35</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TOTAL, Hunt Oil, Yemen Gas Co., SK Corp, KOGAS, GASSP,  Hyundai</w:t>
                  </w:r>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AE7E23" w:rsidRDefault="00A95AB6" w:rsidP="00A95AB6">
                  <w:pPr>
                    <w:jc w:val="center"/>
                    <w:rPr>
                      <w:rFonts w:cs="Arial"/>
                      <w:b/>
                      <w:sz w:val="16"/>
                      <w:szCs w:val="16"/>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Pr>
                      <w:rFonts w:cs="Arial"/>
                      <w:color w:val="141313"/>
                      <w:sz w:val="16"/>
                      <w:szCs w:val="16"/>
                    </w:rPr>
                    <w:t>Malaysia</w:t>
                  </w:r>
                </w:p>
              </w:tc>
              <w:tc>
                <w:tcPr>
                  <w:tcW w:w="1800" w:type="dxa"/>
                  <w:vAlign w:val="center"/>
                </w:tcPr>
                <w:p w:rsidR="00A95AB6" w:rsidRPr="00AE7E23" w:rsidRDefault="00A95AB6" w:rsidP="00A95AB6">
                  <w:pPr>
                    <w:rPr>
                      <w:rFonts w:cs="Arial"/>
                      <w:color w:val="141313"/>
                      <w:sz w:val="16"/>
                      <w:szCs w:val="16"/>
                    </w:rPr>
                  </w:pPr>
                  <w:r>
                    <w:rPr>
                      <w:rFonts w:cs="Arial"/>
                      <w:color w:val="141313"/>
                      <w:sz w:val="16"/>
                      <w:szCs w:val="16"/>
                    </w:rPr>
                    <w:t xml:space="preserve">MLNG </w:t>
                  </w:r>
                  <w:proofErr w:type="spellStart"/>
                  <w:r>
                    <w:rPr>
                      <w:rFonts w:cs="Arial"/>
                      <w:color w:val="141313"/>
                      <w:sz w:val="16"/>
                      <w:szCs w:val="16"/>
                    </w:rPr>
                    <w:t>Dua</w:t>
                  </w:r>
                  <w:proofErr w:type="spellEnd"/>
                  <w:r>
                    <w:rPr>
                      <w:rFonts w:cs="Arial"/>
                      <w:color w:val="141313"/>
                      <w:sz w:val="16"/>
                      <w:szCs w:val="16"/>
                    </w:rPr>
                    <w:t xml:space="preserve"> Debottleneck</w:t>
                  </w:r>
                </w:p>
              </w:tc>
              <w:tc>
                <w:tcPr>
                  <w:tcW w:w="630" w:type="dxa"/>
                  <w:vAlign w:val="center"/>
                </w:tcPr>
                <w:p w:rsidR="00A95AB6" w:rsidRPr="00AE7E23" w:rsidRDefault="00A95AB6" w:rsidP="00A95AB6">
                  <w:pPr>
                    <w:jc w:val="center"/>
                    <w:rPr>
                      <w:rFonts w:cs="Arial"/>
                      <w:color w:val="141313"/>
                      <w:sz w:val="16"/>
                      <w:szCs w:val="16"/>
                    </w:rPr>
                  </w:pPr>
                  <w:r>
                    <w:rPr>
                      <w:rFonts w:cs="Arial"/>
                      <w:color w:val="141313"/>
                      <w:sz w:val="16"/>
                      <w:szCs w:val="16"/>
                    </w:rPr>
                    <w:t>2010</w:t>
                  </w:r>
                </w:p>
              </w:tc>
              <w:tc>
                <w:tcPr>
                  <w:tcW w:w="1080" w:type="dxa"/>
                  <w:vAlign w:val="center"/>
                </w:tcPr>
                <w:p w:rsidR="00A95AB6" w:rsidRPr="00AE7E23" w:rsidRDefault="00A95AB6" w:rsidP="00A95AB6">
                  <w:pPr>
                    <w:jc w:val="center"/>
                    <w:rPr>
                      <w:rFonts w:cs="Arial"/>
                      <w:color w:val="141313"/>
                      <w:sz w:val="16"/>
                      <w:szCs w:val="16"/>
                    </w:rPr>
                  </w:pPr>
                  <w:r>
                    <w:rPr>
                      <w:rFonts w:cs="Arial"/>
                      <w:color w:val="141313"/>
                      <w:sz w:val="16"/>
                      <w:szCs w:val="16"/>
                    </w:rPr>
                    <w:t>1.2</w:t>
                  </w:r>
                </w:p>
              </w:tc>
              <w:tc>
                <w:tcPr>
                  <w:tcW w:w="3420" w:type="dxa"/>
                  <w:vAlign w:val="center"/>
                </w:tcPr>
                <w:p w:rsidR="00A95AB6" w:rsidRPr="007F1D53" w:rsidRDefault="00A95AB6" w:rsidP="00A95AB6">
                  <w:pPr>
                    <w:rPr>
                      <w:rFonts w:cs="Arial"/>
                      <w:sz w:val="16"/>
                      <w:szCs w:val="16"/>
                    </w:rPr>
                  </w:pPr>
                  <w:r w:rsidRPr="007F1D53">
                    <w:rPr>
                      <w:rFonts w:cs="Arial"/>
                      <w:sz w:val="16"/>
                      <w:szCs w:val="16"/>
                    </w:rPr>
                    <w:t>PETRONAS, Shell, Mitsubishi, Sarawak State</w:t>
                  </w:r>
                  <w:r>
                    <w:rPr>
                      <w:rFonts w:cs="Arial"/>
                      <w:sz w:val="16"/>
                      <w:szCs w:val="16"/>
                    </w:rPr>
                    <w:t xml:space="preserve"> government</w:t>
                  </w:r>
                </w:p>
              </w:tc>
              <w:tc>
                <w:tcPr>
                  <w:tcW w:w="1980" w:type="dxa"/>
                  <w:vAlign w:val="center"/>
                </w:tcPr>
                <w:p w:rsidR="00A95AB6" w:rsidRDefault="00A95AB6" w:rsidP="00A95AB6">
                  <w:pPr>
                    <w:jc w:val="center"/>
                    <w:rPr>
                      <w:rFonts w:cs="Arial"/>
                      <w:b/>
                      <w:sz w:val="16"/>
                      <w:szCs w:val="16"/>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Norway</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Skangass</w:t>
                  </w:r>
                  <w:proofErr w:type="spellEnd"/>
                  <w:r w:rsidRPr="00AE7E23">
                    <w:rPr>
                      <w:rFonts w:cs="Arial"/>
                      <w:color w:val="141313"/>
                      <w:sz w:val="16"/>
                      <w:szCs w:val="16"/>
                    </w:rPr>
                    <w:t xml:space="preserve"> LNG</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2010</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0.3</w:t>
                  </w:r>
                </w:p>
              </w:tc>
              <w:tc>
                <w:tcPr>
                  <w:tcW w:w="3420" w:type="dxa"/>
                  <w:vAlign w:val="center"/>
                </w:tcPr>
                <w:p w:rsidR="00A95AB6" w:rsidRPr="00B1739C" w:rsidRDefault="00A95AB6" w:rsidP="00A95AB6">
                  <w:pPr>
                    <w:rPr>
                      <w:rFonts w:cs="Arial"/>
                      <w:sz w:val="16"/>
                      <w:szCs w:val="16"/>
                    </w:rPr>
                  </w:pPr>
                  <w:proofErr w:type="spellStart"/>
                  <w:r w:rsidRPr="00B1739C">
                    <w:rPr>
                      <w:rFonts w:cs="Arial"/>
                      <w:sz w:val="16"/>
                      <w:szCs w:val="16"/>
                    </w:rPr>
                    <w:t>Skangass</w:t>
                  </w:r>
                  <w:proofErr w:type="spellEnd"/>
                </w:p>
              </w:tc>
              <w:tc>
                <w:tcPr>
                  <w:tcW w:w="1980" w:type="dxa"/>
                  <w:vAlign w:val="center"/>
                </w:tcPr>
                <w:p w:rsidR="00A95AB6" w:rsidRPr="00B1739C" w:rsidRDefault="00A95AB6" w:rsidP="00A95AB6">
                  <w:pPr>
                    <w:jc w:val="center"/>
                    <w:rPr>
                      <w:rFonts w:cs="Arial"/>
                      <w:sz w:val="16"/>
                      <w:szCs w:val="16"/>
                    </w:rPr>
                  </w:pPr>
                  <w:proofErr w:type="spellStart"/>
                  <w:r w:rsidRPr="00B1739C">
                    <w:rPr>
                      <w:rFonts w:cs="Arial"/>
                      <w:sz w:val="16"/>
                      <w:szCs w:val="16"/>
                    </w:rPr>
                    <w:t>Linde</w:t>
                  </w:r>
                  <w:proofErr w:type="spellEnd"/>
                  <w:r>
                    <w:rPr>
                      <w:rFonts w:cs="Arial"/>
                      <w:sz w:val="16"/>
                      <w:szCs w:val="16"/>
                    </w:rPr>
                    <w:t xml:space="preserve"> LIMUM</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Peru</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Peru LNG</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2010</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4.45</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Hunt Oil, Repsol**, SK Corp, Marubeni</w:t>
                  </w:r>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AE7E23" w:rsidRDefault="00A95AB6" w:rsidP="00A95AB6">
                  <w:pPr>
                    <w:jc w:val="center"/>
                    <w:rPr>
                      <w:rFonts w:cs="Arial"/>
                      <w:b/>
                      <w:sz w:val="16"/>
                      <w:szCs w:val="16"/>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Qatargas</w:t>
                  </w:r>
                  <w:proofErr w:type="spellEnd"/>
                  <w:r w:rsidRPr="00AE7E23">
                    <w:rPr>
                      <w:rFonts w:cs="Arial"/>
                      <w:color w:val="141313"/>
                      <w:sz w:val="16"/>
                      <w:szCs w:val="16"/>
                    </w:rPr>
                    <w:t xml:space="preserve"> III</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2010</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7.8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Qatar Petroleum, ConocoPhillips, Mitsui</w:t>
                  </w:r>
                </w:p>
              </w:tc>
              <w:tc>
                <w:tcPr>
                  <w:tcW w:w="1980" w:type="dxa"/>
                  <w:vAlign w:val="center"/>
                </w:tcPr>
                <w:p w:rsidR="00A95AB6" w:rsidRPr="00AE7E23" w:rsidRDefault="00A95AB6" w:rsidP="00A95AB6">
                  <w:pPr>
                    <w:jc w:val="center"/>
                    <w:rPr>
                      <w:rFonts w:cs="Arial"/>
                      <w:b/>
                      <w:sz w:val="16"/>
                      <w:szCs w:val="16"/>
                    </w:rPr>
                  </w:pPr>
                  <w:r w:rsidRPr="002F4AC2">
                    <w:rPr>
                      <w:rFonts w:cs="Arial"/>
                      <w:sz w:val="16"/>
                      <w:szCs w:val="16"/>
                      <w:lang w:val="en-GB" w:eastAsia="en-US"/>
                    </w:rPr>
                    <w:t>APC AP-X</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RasGas</w:t>
                  </w:r>
                  <w:proofErr w:type="spellEnd"/>
                  <w:r w:rsidRPr="00AE7E23">
                    <w:rPr>
                      <w:rFonts w:cs="Arial"/>
                      <w:color w:val="141313"/>
                      <w:sz w:val="16"/>
                      <w:szCs w:val="16"/>
                    </w:rPr>
                    <w:t xml:space="preserve"> III (T2)</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2010</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7.8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Qatar Petroleum, ExxonMobil</w:t>
                  </w:r>
                </w:p>
              </w:tc>
              <w:tc>
                <w:tcPr>
                  <w:tcW w:w="1980" w:type="dxa"/>
                  <w:vAlign w:val="center"/>
                </w:tcPr>
                <w:p w:rsidR="00A95AB6" w:rsidRPr="00AE7E23" w:rsidRDefault="00A95AB6" w:rsidP="00A95AB6">
                  <w:pPr>
                    <w:jc w:val="center"/>
                    <w:rPr>
                      <w:rFonts w:cs="Arial"/>
                      <w:b/>
                      <w:sz w:val="16"/>
                      <w:szCs w:val="16"/>
                    </w:rPr>
                  </w:pPr>
                  <w:r w:rsidRPr="002F4AC2">
                    <w:rPr>
                      <w:rFonts w:cs="Arial"/>
                      <w:sz w:val="16"/>
                      <w:szCs w:val="16"/>
                      <w:lang w:val="en-GB" w:eastAsia="en-US"/>
                    </w:rPr>
                    <w:t>APC AP-X</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Yemen</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Yemen LNG T2</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2010</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3.35</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TOTAL, Hunt Oil, Yemen Gas Co., SK Corp, KOGAS, GASSP,  Hyundai</w:t>
                  </w:r>
                </w:p>
              </w:tc>
              <w:tc>
                <w:tcPr>
                  <w:tcW w:w="1980" w:type="dxa"/>
                  <w:vAlign w:val="center"/>
                </w:tcPr>
                <w:p w:rsidR="00A95AB6" w:rsidRDefault="00A95AB6" w:rsidP="00A95AB6">
                  <w:pPr>
                    <w:widowControl/>
                    <w:jc w:val="center"/>
                    <w:rPr>
                      <w:rFonts w:cs="Arial"/>
                      <w:sz w:val="16"/>
                      <w:szCs w:val="16"/>
                      <w:lang w:val="en-GB" w:eastAsia="en-US"/>
                    </w:rPr>
                  </w:pPr>
                  <w:r w:rsidRPr="002F4AC2">
                    <w:rPr>
                      <w:rFonts w:cs="Arial"/>
                      <w:sz w:val="16"/>
                      <w:szCs w:val="16"/>
                      <w:lang w:val="en-GB" w:eastAsia="en-US"/>
                    </w:rPr>
                    <w:t xml:space="preserve">APC </w:t>
                  </w:r>
                  <w:r w:rsidRPr="002F4AC2">
                    <w:rPr>
                      <w:i/>
                      <w:sz w:val="16"/>
                      <w:szCs w:val="16"/>
                      <w:lang w:val="en-GB"/>
                    </w:rPr>
                    <w:t>C</w:t>
                  </w:r>
                  <w:r w:rsidRPr="002F4AC2">
                    <w:rPr>
                      <w:i/>
                      <w:sz w:val="16"/>
                      <w:szCs w:val="16"/>
                      <w:vertAlign w:val="subscript"/>
                      <w:lang w:val="en-GB"/>
                    </w:rPr>
                    <w:t>3</w:t>
                  </w:r>
                  <w:r w:rsidRPr="002F4AC2">
                    <w:rPr>
                      <w:i/>
                      <w:sz w:val="16"/>
                      <w:szCs w:val="16"/>
                      <w:lang w:val="en-GB"/>
                    </w:rPr>
                    <w:t>MR</w:t>
                  </w:r>
                  <w:r>
                    <w:rPr>
                      <w:rFonts w:cs="Arial"/>
                      <w:sz w:val="16"/>
                      <w:szCs w:val="16"/>
                      <w:lang w:val="en-GB" w:eastAsia="en-US"/>
                    </w:rPr>
                    <w:t>/</w:t>
                  </w:r>
                </w:p>
                <w:p w:rsidR="00A95AB6" w:rsidRPr="00AE7E23" w:rsidRDefault="00A95AB6" w:rsidP="00A95AB6">
                  <w:pPr>
                    <w:jc w:val="center"/>
                    <w:rPr>
                      <w:rFonts w:cs="Arial"/>
                      <w:b/>
                      <w:sz w:val="16"/>
                      <w:szCs w:val="16"/>
                    </w:rPr>
                  </w:pPr>
                  <w:r w:rsidRPr="002F4AC2">
                    <w:rPr>
                      <w:rFonts w:cs="Arial"/>
                      <w:sz w:val="16"/>
                      <w:szCs w:val="16"/>
                      <w:lang w:val="en-GB" w:eastAsia="en-US"/>
                    </w:rPr>
                    <w:t>Split MR</w:t>
                  </w:r>
                  <w:r w:rsidRPr="00C74AA2">
                    <w:rPr>
                      <w:sz w:val="16"/>
                      <w:szCs w:val="16"/>
                      <w:lang w:val="en-GB"/>
                    </w:rPr>
                    <w:t>™</w:t>
                  </w:r>
                </w:p>
              </w:tc>
            </w:tr>
            <w:tr w:rsidR="00A95AB6" w:rsidRPr="00AE7E23" w:rsidTr="00A83DA6">
              <w:trPr>
                <w:cnfStyle w:val="00000001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Qatar</w:t>
                  </w:r>
                </w:p>
              </w:tc>
              <w:tc>
                <w:tcPr>
                  <w:tcW w:w="1800" w:type="dxa"/>
                  <w:vAlign w:val="center"/>
                </w:tcPr>
                <w:p w:rsidR="00A95AB6" w:rsidRPr="00AE7E23" w:rsidRDefault="00A95AB6" w:rsidP="00A95AB6">
                  <w:pPr>
                    <w:rPr>
                      <w:rFonts w:cs="Arial"/>
                      <w:color w:val="141313"/>
                      <w:sz w:val="16"/>
                      <w:szCs w:val="16"/>
                    </w:rPr>
                  </w:pPr>
                  <w:proofErr w:type="spellStart"/>
                  <w:r w:rsidRPr="00AE7E23">
                    <w:rPr>
                      <w:rFonts w:cs="Arial"/>
                      <w:color w:val="141313"/>
                      <w:sz w:val="16"/>
                      <w:szCs w:val="16"/>
                    </w:rPr>
                    <w:t>Qatargas</w:t>
                  </w:r>
                  <w:proofErr w:type="spellEnd"/>
                  <w:r w:rsidRPr="00AE7E23">
                    <w:rPr>
                      <w:rFonts w:cs="Arial"/>
                      <w:color w:val="141313"/>
                      <w:sz w:val="16"/>
                      <w:szCs w:val="16"/>
                    </w:rPr>
                    <w:t xml:space="preserve"> IV</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2011</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7.8</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Qatar Petroleum, Shell</w:t>
                  </w:r>
                </w:p>
              </w:tc>
              <w:tc>
                <w:tcPr>
                  <w:tcW w:w="1980" w:type="dxa"/>
                  <w:vAlign w:val="center"/>
                </w:tcPr>
                <w:p w:rsidR="00A95AB6" w:rsidRPr="00AE7E23" w:rsidRDefault="00A95AB6" w:rsidP="00A95AB6">
                  <w:pPr>
                    <w:jc w:val="center"/>
                    <w:rPr>
                      <w:rFonts w:cs="Arial"/>
                      <w:b/>
                      <w:sz w:val="16"/>
                      <w:szCs w:val="16"/>
                    </w:rPr>
                  </w:pPr>
                  <w:r w:rsidRPr="002F4AC2">
                    <w:rPr>
                      <w:rFonts w:cs="Arial"/>
                      <w:sz w:val="16"/>
                      <w:szCs w:val="16"/>
                      <w:lang w:val="en-GB" w:eastAsia="en-US"/>
                    </w:rPr>
                    <w:t>APC AP-X</w:t>
                  </w:r>
                </w:p>
              </w:tc>
            </w:tr>
            <w:tr w:rsidR="00A95AB6" w:rsidRPr="00AE7E23" w:rsidTr="00A83DA6">
              <w:trPr>
                <w:cnfStyle w:val="000000100000"/>
                <w:trHeight w:val="246"/>
              </w:trPr>
              <w:tc>
                <w:tcPr>
                  <w:tcW w:w="1160" w:type="dxa"/>
                  <w:vAlign w:val="center"/>
                </w:tcPr>
                <w:p w:rsidR="00A95AB6" w:rsidRPr="00AE7E23" w:rsidRDefault="00A95AB6" w:rsidP="00A95AB6">
                  <w:pPr>
                    <w:rPr>
                      <w:rFonts w:cs="Arial"/>
                      <w:color w:val="141313"/>
                      <w:sz w:val="16"/>
                      <w:szCs w:val="16"/>
                    </w:rPr>
                  </w:pPr>
                  <w:r w:rsidRPr="00AE7E23">
                    <w:rPr>
                      <w:rFonts w:cs="Arial"/>
                      <w:color w:val="141313"/>
                      <w:sz w:val="16"/>
                      <w:szCs w:val="16"/>
                    </w:rPr>
                    <w:t>Australia</w:t>
                  </w:r>
                </w:p>
              </w:tc>
              <w:tc>
                <w:tcPr>
                  <w:tcW w:w="1800" w:type="dxa"/>
                  <w:vAlign w:val="center"/>
                </w:tcPr>
                <w:p w:rsidR="00A95AB6" w:rsidRPr="00AE7E23" w:rsidRDefault="00A95AB6" w:rsidP="00A95AB6">
                  <w:pPr>
                    <w:rPr>
                      <w:rFonts w:cs="Arial"/>
                      <w:color w:val="141313"/>
                      <w:sz w:val="16"/>
                      <w:szCs w:val="16"/>
                    </w:rPr>
                  </w:pPr>
                  <w:r w:rsidRPr="00AE7E23">
                    <w:rPr>
                      <w:rFonts w:cs="Arial"/>
                      <w:color w:val="141313"/>
                      <w:sz w:val="16"/>
                      <w:szCs w:val="16"/>
                    </w:rPr>
                    <w:t>Pluto LNG T1</w:t>
                  </w:r>
                </w:p>
              </w:tc>
              <w:tc>
                <w:tcPr>
                  <w:tcW w:w="63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2012</w:t>
                  </w:r>
                </w:p>
              </w:tc>
              <w:tc>
                <w:tcPr>
                  <w:tcW w:w="1080" w:type="dxa"/>
                  <w:vAlign w:val="center"/>
                </w:tcPr>
                <w:p w:rsidR="00A95AB6" w:rsidRPr="00AE7E23" w:rsidRDefault="00A95AB6" w:rsidP="00A95AB6">
                  <w:pPr>
                    <w:jc w:val="center"/>
                    <w:rPr>
                      <w:rFonts w:cs="Arial"/>
                      <w:color w:val="141313"/>
                      <w:sz w:val="16"/>
                      <w:szCs w:val="16"/>
                    </w:rPr>
                  </w:pPr>
                  <w:r w:rsidRPr="00AE7E23">
                    <w:rPr>
                      <w:rFonts w:cs="Arial"/>
                      <w:color w:val="141313"/>
                      <w:sz w:val="16"/>
                      <w:szCs w:val="16"/>
                    </w:rPr>
                    <w:t>4.3</w:t>
                  </w:r>
                </w:p>
              </w:tc>
              <w:tc>
                <w:tcPr>
                  <w:tcW w:w="3420" w:type="dxa"/>
                  <w:vAlign w:val="center"/>
                </w:tcPr>
                <w:p w:rsidR="00A95AB6" w:rsidRDefault="00A95AB6" w:rsidP="00A95AB6">
                  <w:pPr>
                    <w:rPr>
                      <w:rFonts w:cs="Arial"/>
                      <w:color w:val="141313"/>
                      <w:sz w:val="16"/>
                      <w:szCs w:val="16"/>
                    </w:rPr>
                  </w:pPr>
                  <w:r>
                    <w:rPr>
                      <w:rFonts w:cs="Arial"/>
                      <w:color w:val="141313"/>
                      <w:sz w:val="16"/>
                      <w:szCs w:val="16"/>
                      <w:lang w:val="en-GB"/>
                    </w:rPr>
                    <w:t>Woodside, Kansai Electric, Tokyo Gas</w:t>
                  </w:r>
                </w:p>
              </w:tc>
              <w:tc>
                <w:tcPr>
                  <w:tcW w:w="1980" w:type="dxa"/>
                  <w:vAlign w:val="center"/>
                </w:tcPr>
                <w:p w:rsidR="00A95AB6" w:rsidRPr="00AE7E23" w:rsidRDefault="00A95AB6" w:rsidP="00A95AB6">
                  <w:pPr>
                    <w:jc w:val="center"/>
                    <w:rPr>
                      <w:rFonts w:cs="Arial"/>
                      <w:b/>
                      <w:sz w:val="16"/>
                      <w:szCs w:val="16"/>
                    </w:rPr>
                  </w:pPr>
                  <w:r w:rsidRPr="00F47581">
                    <w:rPr>
                      <w:rFonts w:cs="Arial"/>
                      <w:sz w:val="16"/>
                      <w:szCs w:val="16"/>
                      <w:lang w:val="en-GB" w:eastAsia="en-US"/>
                    </w:rPr>
                    <w:t>Shell propane</w:t>
                  </w:r>
                  <w:r>
                    <w:rPr>
                      <w:rFonts w:cs="Arial"/>
                      <w:sz w:val="16"/>
                      <w:szCs w:val="16"/>
                      <w:lang w:val="en-GB" w:eastAsia="en-US"/>
                    </w:rPr>
                    <w:t xml:space="preserve"> </w:t>
                  </w:r>
                  <w:r w:rsidRPr="00F47581">
                    <w:rPr>
                      <w:rFonts w:cs="Arial"/>
                      <w:sz w:val="16"/>
                      <w:szCs w:val="16"/>
                      <w:lang w:val="en-GB" w:eastAsia="en-US"/>
                    </w:rPr>
                    <w:t>pre-cooled mixed refrigerant design</w:t>
                  </w:r>
                </w:p>
              </w:tc>
            </w:tr>
          </w:tbl>
          <w:p w:rsidR="00DF692D" w:rsidRPr="00905985" w:rsidRDefault="00DF692D" w:rsidP="009E2AB2">
            <w:pPr>
              <w:pStyle w:val="PFCBulletedText2"/>
              <w:ind w:left="0" w:firstLine="0"/>
              <w:jc w:val="left"/>
              <w:rPr>
                <w:i/>
                <w:sz w:val="16"/>
                <w:szCs w:val="16"/>
              </w:rPr>
            </w:pPr>
            <w:r w:rsidRPr="00905985">
              <w:rPr>
                <w:i/>
                <w:sz w:val="16"/>
                <w:szCs w:val="16"/>
              </w:rPr>
              <w:t>Source: PFC Energy Global LNG Service, Company Announcements</w:t>
            </w:r>
          </w:p>
          <w:p w:rsidR="00DF692D" w:rsidRDefault="00DF692D" w:rsidP="009E2AB2">
            <w:pPr>
              <w:rPr>
                <w:i/>
                <w:sz w:val="16"/>
                <w:szCs w:val="16"/>
                <w:lang w:val="en-GB"/>
              </w:rPr>
            </w:pPr>
            <w:r w:rsidRPr="00905985">
              <w:rPr>
                <w:i/>
                <w:sz w:val="16"/>
                <w:szCs w:val="16"/>
                <w:lang w:val="en-GB"/>
              </w:rPr>
              <w:t>* Companies are listed by size of ownership stake, starting with the largest stake</w:t>
            </w:r>
          </w:p>
          <w:p w:rsidR="00D915DD" w:rsidRPr="00AC6B95" w:rsidRDefault="00D915DD" w:rsidP="00D915DD">
            <w:pPr>
              <w:rPr>
                <w:i/>
                <w:sz w:val="16"/>
                <w:szCs w:val="16"/>
                <w:lang w:val="en-GB"/>
              </w:rPr>
            </w:pPr>
            <w:r>
              <w:rPr>
                <w:i/>
                <w:sz w:val="16"/>
                <w:szCs w:val="16"/>
                <w:lang w:val="en-GB"/>
              </w:rPr>
              <w:t xml:space="preserve">** Shell agreed to acquire </w:t>
            </w:r>
            <w:proofErr w:type="spellStart"/>
            <w:r>
              <w:rPr>
                <w:i/>
                <w:sz w:val="16"/>
                <w:szCs w:val="16"/>
                <w:lang w:val="en-GB"/>
              </w:rPr>
              <w:t>Repsol’s</w:t>
            </w:r>
            <w:proofErr w:type="spellEnd"/>
            <w:r>
              <w:rPr>
                <w:i/>
                <w:sz w:val="16"/>
                <w:szCs w:val="16"/>
                <w:lang w:val="en-GB"/>
              </w:rPr>
              <w:t xml:space="preserve"> assets in February 2013.</w:t>
            </w:r>
          </w:p>
        </w:tc>
      </w:tr>
    </w:tbl>
    <w:p w:rsidR="00DF692D" w:rsidRPr="00627EEA" w:rsidRDefault="00DF692D" w:rsidP="00627EEA">
      <w:pPr>
        <w:pStyle w:val="Titre1"/>
      </w:pPr>
      <w:bookmarkStart w:id="51" w:name="_Toc360628272"/>
      <w:r w:rsidRPr="00627EEA">
        <w:lastRenderedPageBreak/>
        <w:t xml:space="preserve">APPENDIX II: Table of Liquefaction Plants </w:t>
      </w:r>
      <w:proofErr w:type="gramStart"/>
      <w:r w:rsidRPr="00627EEA">
        <w:t>Under</w:t>
      </w:r>
      <w:proofErr w:type="gramEnd"/>
      <w:r w:rsidRPr="00627EEA">
        <w:t xml:space="preserve"> Construction</w:t>
      </w:r>
      <w:bookmarkEnd w:id="51"/>
    </w:p>
    <w:tbl>
      <w:tblPr>
        <w:tblStyle w:val="Grillemoyenne3-Accent3"/>
        <w:tblpPr w:leftFromText="180" w:rightFromText="180" w:vertAnchor="text" w:horzAnchor="margin" w:tblpY="8"/>
        <w:tblOverlap w:val="never"/>
        <w:tblW w:w="10188" w:type="dxa"/>
        <w:tblLayout w:type="fixed"/>
        <w:tblLook w:val="0420"/>
      </w:tblPr>
      <w:tblGrid>
        <w:gridCol w:w="1430"/>
        <w:gridCol w:w="2278"/>
        <w:gridCol w:w="900"/>
        <w:gridCol w:w="1080"/>
        <w:gridCol w:w="4500"/>
      </w:tblGrid>
      <w:tr w:rsidR="00DF692D" w:rsidRPr="00AE7E23" w:rsidTr="009E2AB2">
        <w:trPr>
          <w:cnfStyle w:val="100000000000"/>
          <w:trHeight w:val="246"/>
        </w:trPr>
        <w:tc>
          <w:tcPr>
            <w:tcW w:w="1430" w:type="dxa"/>
            <w:vAlign w:val="center"/>
          </w:tcPr>
          <w:p w:rsidR="00DF692D" w:rsidRPr="00AE7E23" w:rsidRDefault="00DF692D" w:rsidP="009E2AB2">
            <w:pPr>
              <w:jc w:val="center"/>
              <w:rPr>
                <w:sz w:val="16"/>
                <w:szCs w:val="16"/>
                <w:lang w:val="en-GB"/>
              </w:rPr>
            </w:pPr>
            <w:r w:rsidRPr="00AE7E23">
              <w:rPr>
                <w:sz w:val="16"/>
                <w:szCs w:val="16"/>
                <w:lang w:val="en-GB"/>
              </w:rPr>
              <w:t>Country</w:t>
            </w:r>
          </w:p>
        </w:tc>
        <w:tc>
          <w:tcPr>
            <w:tcW w:w="2278" w:type="dxa"/>
            <w:vAlign w:val="center"/>
          </w:tcPr>
          <w:p w:rsidR="00DF692D" w:rsidRPr="00AE7E23" w:rsidRDefault="00DF692D" w:rsidP="009E2AB2">
            <w:pPr>
              <w:jc w:val="center"/>
              <w:rPr>
                <w:sz w:val="16"/>
                <w:szCs w:val="16"/>
                <w:lang w:val="en-GB"/>
              </w:rPr>
            </w:pPr>
            <w:r w:rsidRPr="00AE7E23">
              <w:rPr>
                <w:sz w:val="16"/>
                <w:szCs w:val="16"/>
                <w:lang w:val="en-GB"/>
              </w:rPr>
              <w:t>Project Name</w:t>
            </w:r>
          </w:p>
        </w:tc>
        <w:tc>
          <w:tcPr>
            <w:tcW w:w="900" w:type="dxa"/>
            <w:vAlign w:val="center"/>
          </w:tcPr>
          <w:p w:rsidR="00DF692D" w:rsidRPr="00AE7E23" w:rsidRDefault="00DF692D" w:rsidP="009E2AB2">
            <w:pPr>
              <w:jc w:val="center"/>
              <w:rPr>
                <w:sz w:val="16"/>
                <w:szCs w:val="16"/>
                <w:lang w:val="en-GB"/>
              </w:rPr>
            </w:pPr>
            <w:r w:rsidRPr="00AE7E23">
              <w:rPr>
                <w:sz w:val="16"/>
                <w:szCs w:val="16"/>
                <w:lang w:val="en-GB"/>
              </w:rPr>
              <w:t>Start Year</w:t>
            </w:r>
          </w:p>
        </w:tc>
        <w:tc>
          <w:tcPr>
            <w:tcW w:w="1080" w:type="dxa"/>
            <w:vAlign w:val="center"/>
          </w:tcPr>
          <w:p w:rsidR="00DF692D" w:rsidRPr="00AE7E23" w:rsidRDefault="00DF692D" w:rsidP="009E2AB2">
            <w:pPr>
              <w:jc w:val="center"/>
              <w:rPr>
                <w:sz w:val="16"/>
                <w:szCs w:val="16"/>
                <w:lang w:val="en-GB"/>
              </w:rPr>
            </w:pPr>
            <w:r w:rsidRPr="00AE7E23">
              <w:rPr>
                <w:sz w:val="16"/>
                <w:szCs w:val="16"/>
                <w:lang w:val="en-GB"/>
              </w:rPr>
              <w:t>Nameplate Capacity</w:t>
            </w:r>
            <w:r>
              <w:rPr>
                <w:sz w:val="16"/>
                <w:szCs w:val="16"/>
                <w:lang w:val="en-GB"/>
              </w:rPr>
              <w:t xml:space="preserve"> (MTPA)</w:t>
            </w:r>
          </w:p>
        </w:tc>
        <w:tc>
          <w:tcPr>
            <w:tcW w:w="4500" w:type="dxa"/>
            <w:vAlign w:val="center"/>
          </w:tcPr>
          <w:p w:rsidR="00DF692D" w:rsidRPr="00AE7E23" w:rsidRDefault="00DF692D" w:rsidP="009E2AB2">
            <w:pPr>
              <w:rPr>
                <w:sz w:val="16"/>
                <w:szCs w:val="16"/>
                <w:lang w:val="en-GB"/>
              </w:rPr>
            </w:pPr>
            <w:r>
              <w:rPr>
                <w:sz w:val="16"/>
                <w:szCs w:val="16"/>
                <w:lang w:val="en-GB"/>
              </w:rPr>
              <w:t>Owners*</w:t>
            </w:r>
          </w:p>
        </w:tc>
      </w:tr>
      <w:tr w:rsidR="00DF692D" w:rsidRPr="00AE7E23" w:rsidTr="009E2AB2">
        <w:trPr>
          <w:cnfStyle w:val="000000100000"/>
          <w:trHeight w:val="246"/>
        </w:trPr>
        <w:tc>
          <w:tcPr>
            <w:tcW w:w="1430" w:type="dxa"/>
            <w:vAlign w:val="bottom"/>
          </w:tcPr>
          <w:p w:rsidR="00DF692D" w:rsidRPr="0082695E" w:rsidRDefault="00DF692D" w:rsidP="009E2AB2">
            <w:pPr>
              <w:jc w:val="center"/>
              <w:rPr>
                <w:rFonts w:cs="Arial"/>
                <w:color w:val="141313"/>
                <w:sz w:val="16"/>
                <w:szCs w:val="16"/>
              </w:rPr>
            </w:pPr>
            <w:r w:rsidRPr="0082695E">
              <w:rPr>
                <w:rFonts w:cs="Arial"/>
                <w:color w:val="141313"/>
                <w:sz w:val="16"/>
                <w:szCs w:val="16"/>
                <w:lang w:val="en-GB"/>
              </w:rPr>
              <w:t>Algeria</w:t>
            </w:r>
          </w:p>
        </w:tc>
        <w:tc>
          <w:tcPr>
            <w:tcW w:w="2278" w:type="dxa"/>
            <w:vAlign w:val="bottom"/>
          </w:tcPr>
          <w:p w:rsidR="00DF692D" w:rsidRPr="0082695E" w:rsidRDefault="00DF692D" w:rsidP="009E2AB2">
            <w:pPr>
              <w:jc w:val="center"/>
              <w:rPr>
                <w:rFonts w:cs="Arial"/>
                <w:color w:val="141313"/>
                <w:sz w:val="16"/>
                <w:szCs w:val="16"/>
              </w:rPr>
            </w:pPr>
            <w:r w:rsidRPr="0082695E">
              <w:rPr>
                <w:rFonts w:cs="Arial"/>
                <w:color w:val="141313"/>
                <w:sz w:val="16"/>
                <w:szCs w:val="16"/>
                <w:lang w:val="en-GB"/>
              </w:rPr>
              <w:t>Skikda - GL1K Rebuild</w:t>
            </w:r>
            <w:r w:rsidR="00AC0F48">
              <w:rPr>
                <w:rFonts w:cs="Arial"/>
                <w:color w:val="141313"/>
                <w:sz w:val="16"/>
                <w:szCs w:val="16"/>
                <w:lang w:val="en-GB"/>
              </w:rPr>
              <w:t>**</w:t>
            </w:r>
          </w:p>
        </w:tc>
        <w:tc>
          <w:tcPr>
            <w:tcW w:w="900" w:type="dxa"/>
            <w:vAlign w:val="bottom"/>
          </w:tcPr>
          <w:p w:rsidR="00DF692D" w:rsidRPr="0082695E" w:rsidRDefault="00DF692D" w:rsidP="009E2AB2">
            <w:pPr>
              <w:jc w:val="center"/>
              <w:rPr>
                <w:rFonts w:cs="Arial"/>
                <w:color w:val="141313"/>
                <w:sz w:val="16"/>
                <w:szCs w:val="16"/>
              </w:rPr>
            </w:pPr>
            <w:r w:rsidRPr="0082695E">
              <w:rPr>
                <w:rFonts w:cs="Arial"/>
                <w:color w:val="141313"/>
                <w:sz w:val="16"/>
                <w:szCs w:val="16"/>
                <w:lang w:val="en-GB"/>
              </w:rPr>
              <w:t>2013</w:t>
            </w:r>
          </w:p>
        </w:tc>
        <w:tc>
          <w:tcPr>
            <w:tcW w:w="1080" w:type="dxa"/>
            <w:vAlign w:val="bottom"/>
          </w:tcPr>
          <w:p w:rsidR="00DF692D" w:rsidRPr="0082695E" w:rsidRDefault="00DF692D" w:rsidP="009E2AB2">
            <w:pPr>
              <w:jc w:val="center"/>
              <w:rPr>
                <w:rFonts w:cs="Arial"/>
                <w:color w:val="141313"/>
                <w:sz w:val="16"/>
                <w:szCs w:val="16"/>
              </w:rPr>
            </w:pPr>
            <w:r w:rsidRPr="0082695E">
              <w:rPr>
                <w:rFonts w:cs="Arial"/>
                <w:color w:val="141313"/>
                <w:sz w:val="16"/>
                <w:szCs w:val="16"/>
                <w:lang w:val="en-GB"/>
              </w:rPr>
              <w:t>4.5</w:t>
            </w:r>
          </w:p>
        </w:tc>
        <w:tc>
          <w:tcPr>
            <w:tcW w:w="4500" w:type="dxa"/>
            <w:vAlign w:val="center"/>
          </w:tcPr>
          <w:p w:rsidR="00DF692D" w:rsidRPr="0082695E" w:rsidRDefault="00DF692D" w:rsidP="009E2AB2">
            <w:pPr>
              <w:rPr>
                <w:rFonts w:cs="Arial"/>
                <w:color w:val="141313"/>
                <w:sz w:val="16"/>
                <w:szCs w:val="16"/>
              </w:rPr>
            </w:pPr>
            <w:r w:rsidRPr="0082695E">
              <w:rPr>
                <w:rFonts w:cs="Arial"/>
                <w:color w:val="141313"/>
                <w:sz w:val="16"/>
                <w:szCs w:val="16"/>
                <w:lang w:val="en-GB"/>
              </w:rPr>
              <w:t>Sonatrach</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Angola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Angola LNG T1</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2013</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5.2</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it-IT"/>
              </w:rPr>
              <w:t>Chevron, Sonangol, BP, Eni, TOTAL</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Indonesia</w:t>
            </w:r>
          </w:p>
        </w:tc>
        <w:tc>
          <w:tcPr>
            <w:tcW w:w="2278" w:type="dxa"/>
            <w:vAlign w:val="bottom"/>
          </w:tcPr>
          <w:p w:rsidR="00DF692D" w:rsidRDefault="00DF692D" w:rsidP="009E2AB2">
            <w:pPr>
              <w:jc w:val="center"/>
              <w:rPr>
                <w:rFonts w:cs="Arial"/>
                <w:color w:val="141313"/>
                <w:sz w:val="16"/>
                <w:szCs w:val="16"/>
              </w:rPr>
            </w:pPr>
            <w:proofErr w:type="spellStart"/>
            <w:r>
              <w:rPr>
                <w:rFonts w:cs="Arial"/>
                <w:color w:val="141313"/>
                <w:sz w:val="16"/>
                <w:szCs w:val="16"/>
                <w:lang w:val="en-GB"/>
              </w:rPr>
              <w:t>Senkang</w:t>
            </w:r>
            <w:proofErr w:type="spellEnd"/>
            <w:r>
              <w:rPr>
                <w:rFonts w:cs="Arial"/>
                <w:color w:val="141313"/>
                <w:sz w:val="16"/>
                <w:szCs w:val="16"/>
                <w:lang w:val="en-GB"/>
              </w:rPr>
              <w:t xml:space="preserve"> LNG T1</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2013</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0.5</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Energy World Corporation</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Indonesia</w:t>
            </w:r>
          </w:p>
        </w:tc>
        <w:tc>
          <w:tcPr>
            <w:tcW w:w="2278" w:type="dxa"/>
            <w:vAlign w:val="bottom"/>
          </w:tcPr>
          <w:p w:rsidR="00DF692D" w:rsidRDefault="00DF692D" w:rsidP="009E2AB2">
            <w:pPr>
              <w:jc w:val="center"/>
              <w:rPr>
                <w:rFonts w:cs="Arial"/>
                <w:color w:val="141313"/>
                <w:sz w:val="16"/>
                <w:szCs w:val="16"/>
              </w:rPr>
            </w:pPr>
            <w:proofErr w:type="spellStart"/>
            <w:r>
              <w:rPr>
                <w:rFonts w:cs="Arial"/>
                <w:color w:val="141313"/>
                <w:sz w:val="16"/>
                <w:szCs w:val="16"/>
                <w:lang w:val="en-GB"/>
              </w:rPr>
              <w:t>Senkang</w:t>
            </w:r>
            <w:proofErr w:type="spellEnd"/>
            <w:r>
              <w:rPr>
                <w:rFonts w:cs="Arial"/>
                <w:color w:val="141313"/>
                <w:sz w:val="16"/>
                <w:szCs w:val="16"/>
                <w:lang w:val="en-GB"/>
              </w:rPr>
              <w:t xml:space="preserve"> LNG T2</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2013</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0.5</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Energy World Corporation</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Algeria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Arzew - GL3Z (</w:t>
            </w:r>
            <w:proofErr w:type="spellStart"/>
            <w:r>
              <w:rPr>
                <w:rFonts w:cs="Arial"/>
                <w:color w:val="141313"/>
                <w:sz w:val="16"/>
                <w:szCs w:val="16"/>
                <w:lang w:val="en-GB"/>
              </w:rPr>
              <w:t>Gassi</w:t>
            </w:r>
            <w:proofErr w:type="spellEnd"/>
            <w:r>
              <w:rPr>
                <w:rFonts w:cs="Arial"/>
                <w:color w:val="141313"/>
                <w:sz w:val="16"/>
                <w:szCs w:val="16"/>
                <w:lang w:val="en-GB"/>
              </w:rPr>
              <w:t xml:space="preserve"> </w:t>
            </w:r>
            <w:proofErr w:type="spellStart"/>
            <w:r>
              <w:rPr>
                <w:rFonts w:cs="Arial"/>
                <w:color w:val="141313"/>
                <w:sz w:val="16"/>
                <w:szCs w:val="16"/>
                <w:lang w:val="en-GB"/>
              </w:rPr>
              <w:t>Touil</w:t>
            </w:r>
            <w:proofErr w:type="spellEnd"/>
            <w:r>
              <w:rPr>
                <w:rFonts w:cs="Arial"/>
                <w:color w:val="141313"/>
                <w:sz w:val="16"/>
                <w:szCs w:val="16"/>
                <w:lang w:val="en-GB"/>
              </w:rPr>
              <w:t>)</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2014</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4.7</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Sonatrach</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Colombia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Pacific Rubiales</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2014</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0.5</w:t>
            </w:r>
          </w:p>
        </w:tc>
        <w:tc>
          <w:tcPr>
            <w:tcW w:w="4500" w:type="dxa"/>
            <w:vAlign w:val="center"/>
          </w:tcPr>
          <w:p w:rsidR="00DF692D" w:rsidRDefault="00DF692D" w:rsidP="009E2AB2">
            <w:pPr>
              <w:rPr>
                <w:rFonts w:cs="Arial"/>
                <w:color w:val="141313"/>
                <w:sz w:val="16"/>
                <w:szCs w:val="16"/>
              </w:rPr>
            </w:pPr>
            <w:proofErr w:type="spellStart"/>
            <w:r>
              <w:rPr>
                <w:rFonts w:cs="Arial"/>
                <w:color w:val="141313"/>
                <w:sz w:val="16"/>
                <w:szCs w:val="16"/>
                <w:lang w:val="en-GB"/>
              </w:rPr>
              <w:t>Exmar</w:t>
            </w:r>
            <w:proofErr w:type="spellEnd"/>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Indonesia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Donggi-Senoro LNG</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2014</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2</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 xml:space="preserve">Mitsubishi, Pertamina, KOGAS, Medco </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Papua New Guinea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PNG LNG T1</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2014</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3.5</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 xml:space="preserve">ExxonMobil, Oil Search, Government of Papua New Guinea, Santos, Nippon Oil, PNG Landowners (MRDC), Marubeni, </w:t>
            </w:r>
            <w:proofErr w:type="spellStart"/>
            <w:r>
              <w:rPr>
                <w:rFonts w:cs="Arial"/>
                <w:color w:val="141313"/>
                <w:sz w:val="16"/>
                <w:szCs w:val="16"/>
                <w:lang w:val="en-GB"/>
              </w:rPr>
              <w:t>Petromin</w:t>
            </w:r>
            <w:proofErr w:type="spellEnd"/>
            <w:r>
              <w:rPr>
                <w:rFonts w:cs="Arial"/>
                <w:color w:val="141313"/>
                <w:sz w:val="16"/>
                <w:szCs w:val="16"/>
                <w:lang w:val="en-GB"/>
              </w:rPr>
              <w:t xml:space="preserve"> PNG</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Papua New Guinea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PNG LNG T2</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2014</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3.5</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 xml:space="preserve">ExxonMobil, Oil Search, Government of Papua New Guinea, Santos, JX Nippon Oil &amp; Energy, MRDC, Marubeni, </w:t>
            </w:r>
            <w:proofErr w:type="spellStart"/>
            <w:r>
              <w:rPr>
                <w:rFonts w:cs="Arial"/>
                <w:color w:val="141313"/>
                <w:sz w:val="16"/>
                <w:szCs w:val="16"/>
                <w:lang w:val="en-GB"/>
              </w:rPr>
              <w:t>Petromin</w:t>
            </w:r>
            <w:proofErr w:type="spellEnd"/>
            <w:r>
              <w:rPr>
                <w:rFonts w:cs="Arial"/>
                <w:color w:val="141313"/>
                <w:sz w:val="16"/>
                <w:szCs w:val="16"/>
                <w:lang w:val="en-GB"/>
              </w:rPr>
              <w:t xml:space="preserve"> PNG</w:t>
            </w:r>
          </w:p>
        </w:tc>
      </w:tr>
      <w:tr w:rsidR="00DF692D" w:rsidRPr="00AE7E23" w:rsidTr="009E2AB2">
        <w:trPr>
          <w:cnfStyle w:val="000000010000"/>
          <w:trHeight w:val="246"/>
        </w:trPr>
        <w:tc>
          <w:tcPr>
            <w:tcW w:w="1430"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Malaysia</w:t>
            </w:r>
          </w:p>
        </w:tc>
        <w:tc>
          <w:tcPr>
            <w:tcW w:w="2278"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MLNG Mini-Expansion</w:t>
            </w:r>
          </w:p>
        </w:tc>
        <w:tc>
          <w:tcPr>
            <w:tcW w:w="900"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2014</w:t>
            </w:r>
          </w:p>
        </w:tc>
        <w:tc>
          <w:tcPr>
            <w:tcW w:w="1080"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0.67</w:t>
            </w:r>
          </w:p>
        </w:tc>
        <w:tc>
          <w:tcPr>
            <w:tcW w:w="4500" w:type="dxa"/>
            <w:vAlign w:val="center"/>
          </w:tcPr>
          <w:p w:rsidR="00DF692D" w:rsidRPr="003B16E0" w:rsidRDefault="00DF692D" w:rsidP="009E2AB2">
            <w:pPr>
              <w:rPr>
                <w:rFonts w:cs="Arial"/>
                <w:color w:val="141313"/>
                <w:sz w:val="16"/>
                <w:szCs w:val="16"/>
                <w:lang w:val="en-GB"/>
              </w:rPr>
            </w:pPr>
            <w:r>
              <w:rPr>
                <w:rFonts w:cs="Arial"/>
                <w:color w:val="141313"/>
                <w:sz w:val="16"/>
                <w:szCs w:val="16"/>
                <w:lang w:val="en-GB"/>
              </w:rPr>
              <w:t>PETRONAS</w:t>
            </w:r>
          </w:p>
        </w:tc>
      </w:tr>
      <w:tr w:rsidR="00DF692D" w:rsidRPr="00AE7E23" w:rsidTr="009E2AB2">
        <w:trPr>
          <w:cnfStyle w:val="000000100000"/>
          <w:trHeight w:val="246"/>
        </w:trPr>
        <w:tc>
          <w:tcPr>
            <w:tcW w:w="143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Australia</w:t>
            </w:r>
          </w:p>
        </w:tc>
        <w:tc>
          <w:tcPr>
            <w:tcW w:w="2278"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Queensland Curtis LNG T1</w:t>
            </w:r>
          </w:p>
        </w:tc>
        <w:tc>
          <w:tcPr>
            <w:tcW w:w="90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2014</w:t>
            </w:r>
          </w:p>
        </w:tc>
        <w:tc>
          <w:tcPr>
            <w:tcW w:w="108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4.3</w:t>
            </w:r>
          </w:p>
        </w:tc>
        <w:tc>
          <w:tcPr>
            <w:tcW w:w="4500" w:type="dxa"/>
            <w:vAlign w:val="center"/>
          </w:tcPr>
          <w:p w:rsidR="00DF692D" w:rsidRPr="003B16E0" w:rsidRDefault="00DF692D" w:rsidP="009E2AB2">
            <w:pPr>
              <w:rPr>
                <w:rFonts w:cs="Arial"/>
                <w:color w:val="141313"/>
                <w:sz w:val="16"/>
                <w:szCs w:val="16"/>
                <w:lang w:val="en-GB"/>
              </w:rPr>
            </w:pPr>
            <w:r>
              <w:rPr>
                <w:rFonts w:cs="Arial"/>
                <w:color w:val="141313"/>
                <w:sz w:val="16"/>
                <w:szCs w:val="16"/>
                <w:lang w:val="en-GB"/>
              </w:rPr>
              <w:t>BG, CNOOC</w:t>
            </w:r>
          </w:p>
        </w:tc>
      </w:tr>
      <w:tr w:rsidR="00DF692D" w:rsidRPr="00AE7E23" w:rsidTr="009E2AB2">
        <w:trPr>
          <w:cnfStyle w:val="000000010000"/>
          <w:trHeight w:val="246"/>
        </w:trPr>
        <w:tc>
          <w:tcPr>
            <w:tcW w:w="143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Australia</w:t>
            </w:r>
          </w:p>
        </w:tc>
        <w:tc>
          <w:tcPr>
            <w:tcW w:w="2278"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Queensland Curtis LNG T2</w:t>
            </w:r>
          </w:p>
        </w:tc>
        <w:tc>
          <w:tcPr>
            <w:tcW w:w="90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2015</w:t>
            </w:r>
          </w:p>
        </w:tc>
        <w:tc>
          <w:tcPr>
            <w:tcW w:w="108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4.3</w:t>
            </w:r>
          </w:p>
        </w:tc>
        <w:tc>
          <w:tcPr>
            <w:tcW w:w="4500" w:type="dxa"/>
            <w:vAlign w:val="center"/>
          </w:tcPr>
          <w:p w:rsidR="00DF692D" w:rsidRPr="003B16E0" w:rsidRDefault="00DF692D" w:rsidP="009E2AB2">
            <w:pPr>
              <w:rPr>
                <w:rFonts w:cs="Arial"/>
                <w:color w:val="141313"/>
                <w:sz w:val="16"/>
                <w:szCs w:val="16"/>
                <w:lang w:val="en-GB"/>
              </w:rPr>
            </w:pPr>
            <w:r>
              <w:rPr>
                <w:rFonts w:cs="Arial"/>
                <w:color w:val="141313"/>
                <w:sz w:val="16"/>
                <w:szCs w:val="16"/>
                <w:lang w:val="en-GB"/>
              </w:rPr>
              <w:t>BG, Tokyo Gas</w:t>
            </w:r>
          </w:p>
        </w:tc>
      </w:tr>
      <w:tr w:rsidR="00DF692D" w:rsidRPr="00AE7E23" w:rsidTr="009E2AB2">
        <w:trPr>
          <w:cnfStyle w:val="000000100000"/>
          <w:trHeight w:val="246"/>
        </w:trPr>
        <w:tc>
          <w:tcPr>
            <w:tcW w:w="1430"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Malaysia</w:t>
            </w:r>
          </w:p>
        </w:tc>
        <w:tc>
          <w:tcPr>
            <w:tcW w:w="2278"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PETRONAS LNG 9</w:t>
            </w:r>
          </w:p>
        </w:tc>
        <w:tc>
          <w:tcPr>
            <w:tcW w:w="900"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2015</w:t>
            </w:r>
          </w:p>
        </w:tc>
        <w:tc>
          <w:tcPr>
            <w:tcW w:w="1080" w:type="dxa"/>
            <w:vAlign w:val="bottom"/>
          </w:tcPr>
          <w:p w:rsidR="00DF692D" w:rsidRPr="003B16E0" w:rsidRDefault="00DF692D" w:rsidP="009E2AB2">
            <w:pPr>
              <w:jc w:val="center"/>
              <w:rPr>
                <w:rFonts w:cs="Arial"/>
                <w:color w:val="141313"/>
                <w:sz w:val="16"/>
                <w:szCs w:val="16"/>
                <w:lang w:val="en-GB"/>
              </w:rPr>
            </w:pPr>
            <w:r w:rsidRPr="003B16E0">
              <w:rPr>
                <w:rFonts w:cs="Arial"/>
                <w:color w:val="141313"/>
                <w:sz w:val="16"/>
                <w:szCs w:val="16"/>
                <w:lang w:val="en-GB"/>
              </w:rPr>
              <w:t>3.6</w:t>
            </w:r>
          </w:p>
        </w:tc>
        <w:tc>
          <w:tcPr>
            <w:tcW w:w="4500" w:type="dxa"/>
            <w:vAlign w:val="center"/>
          </w:tcPr>
          <w:p w:rsidR="00DF692D" w:rsidRPr="003B16E0" w:rsidRDefault="00DF692D" w:rsidP="009E2AB2">
            <w:pPr>
              <w:rPr>
                <w:rFonts w:cs="Arial"/>
                <w:color w:val="141313"/>
                <w:sz w:val="16"/>
                <w:szCs w:val="16"/>
                <w:lang w:val="en-GB"/>
              </w:rPr>
            </w:pPr>
            <w:r>
              <w:rPr>
                <w:rFonts w:cs="Arial"/>
                <w:color w:val="141313"/>
                <w:sz w:val="16"/>
                <w:szCs w:val="16"/>
                <w:lang w:val="en-GB"/>
              </w:rPr>
              <w:t>PETRONAS</w:t>
            </w:r>
          </w:p>
        </w:tc>
      </w:tr>
      <w:tr w:rsidR="00DF692D" w:rsidRPr="00AE7E23" w:rsidTr="009E2AB2">
        <w:trPr>
          <w:cnfStyle w:val="000000010000"/>
          <w:trHeight w:val="246"/>
        </w:trPr>
        <w:tc>
          <w:tcPr>
            <w:tcW w:w="143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Australia</w:t>
            </w:r>
          </w:p>
        </w:tc>
        <w:tc>
          <w:tcPr>
            <w:tcW w:w="2278"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Australia Pacific LNG T1</w:t>
            </w:r>
          </w:p>
        </w:tc>
        <w:tc>
          <w:tcPr>
            <w:tcW w:w="90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2015</w:t>
            </w:r>
          </w:p>
        </w:tc>
        <w:tc>
          <w:tcPr>
            <w:tcW w:w="1080" w:type="dxa"/>
            <w:vAlign w:val="bottom"/>
          </w:tcPr>
          <w:p w:rsidR="00DF692D" w:rsidRPr="003B16E0" w:rsidRDefault="00DF692D" w:rsidP="009E2AB2">
            <w:pPr>
              <w:jc w:val="center"/>
              <w:rPr>
                <w:rFonts w:cs="Arial"/>
                <w:color w:val="141313"/>
                <w:sz w:val="16"/>
                <w:szCs w:val="16"/>
                <w:lang w:val="en-GB"/>
              </w:rPr>
            </w:pPr>
            <w:r>
              <w:rPr>
                <w:rFonts w:cs="Arial"/>
                <w:color w:val="141313"/>
                <w:sz w:val="16"/>
                <w:szCs w:val="16"/>
                <w:lang w:val="en-GB"/>
              </w:rPr>
              <w:t>4.5</w:t>
            </w:r>
          </w:p>
        </w:tc>
        <w:tc>
          <w:tcPr>
            <w:tcW w:w="4500" w:type="dxa"/>
            <w:vAlign w:val="center"/>
          </w:tcPr>
          <w:p w:rsidR="00DF692D" w:rsidRPr="003B16E0" w:rsidRDefault="00DF692D" w:rsidP="009E2AB2">
            <w:pPr>
              <w:rPr>
                <w:rFonts w:cs="Arial"/>
                <w:color w:val="141313"/>
                <w:sz w:val="16"/>
                <w:szCs w:val="16"/>
                <w:lang w:val="en-GB"/>
              </w:rPr>
            </w:pPr>
            <w:r>
              <w:rPr>
                <w:rFonts w:cs="Arial"/>
                <w:color w:val="141313"/>
                <w:sz w:val="16"/>
                <w:szCs w:val="16"/>
                <w:lang w:val="en-GB"/>
              </w:rPr>
              <w:t>ConocoPhillips, Origin Energy, Sinopec</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 Pacific LNG T2</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2015</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4.5</w:t>
            </w:r>
          </w:p>
        </w:tc>
        <w:tc>
          <w:tcPr>
            <w:tcW w:w="4500" w:type="dxa"/>
            <w:vAlign w:val="center"/>
          </w:tcPr>
          <w:p w:rsidR="00DF692D" w:rsidRPr="003B16E0" w:rsidRDefault="00DF692D" w:rsidP="009E2AB2">
            <w:pPr>
              <w:rPr>
                <w:rFonts w:cs="Arial"/>
                <w:color w:val="141313"/>
                <w:sz w:val="16"/>
                <w:szCs w:val="16"/>
                <w:lang w:val="en-GB"/>
              </w:rPr>
            </w:pPr>
            <w:r>
              <w:rPr>
                <w:rFonts w:cs="Arial"/>
                <w:color w:val="141313"/>
                <w:sz w:val="16"/>
                <w:szCs w:val="16"/>
                <w:lang w:val="en-GB"/>
              </w:rPr>
              <w:t>ConocoPhillips, Origin Energy, Sinopec</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Gladstone LNG T1</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2015</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3.9</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Santos, PETRONAS, TOTAL, KOGAS</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Malaysia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PETRONAS FLNG</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2015</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1.2</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PETRONAS</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US</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Sabine Pass T1</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2015</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4.5</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Cheniere</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Gorgon LNG T1</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2015</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5.2</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Chevron, ExxonMobil, Shell, Osaka Gas, Tokyo Gas, Chubu Electric</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Gorgon LNG T2</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2015</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5.2</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Chevron, ExxonMobil, Shell, Osaka Gas, Tokyo Gas, Chubu Electric</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Gorgon LNG T3</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2016</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5.2</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Chevron, ExxonMobil, Shell, Osaka Gas, Tokyo Gas, Chubu Electric</w:t>
            </w:r>
          </w:p>
        </w:tc>
      </w:tr>
      <w:tr w:rsidR="00DF692D" w:rsidRPr="00AE7E23" w:rsidTr="009E2AB2">
        <w:trPr>
          <w:cnfStyle w:val="00000001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Gladstone LNG T2</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2016</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3.9</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Santos, PETRONAS, TOTAL, KOGAS</w:t>
            </w:r>
          </w:p>
        </w:tc>
      </w:tr>
      <w:tr w:rsidR="00DF692D" w:rsidRPr="00AE7E23" w:rsidTr="009E2AB2">
        <w:trPr>
          <w:cnfStyle w:val="000000100000"/>
          <w:trHeight w:val="246"/>
        </w:trPr>
        <w:tc>
          <w:tcPr>
            <w:tcW w:w="1430" w:type="dxa"/>
            <w:vAlign w:val="bottom"/>
          </w:tcPr>
          <w:p w:rsidR="00DF692D" w:rsidRDefault="00DF692D" w:rsidP="009E2AB2">
            <w:pPr>
              <w:jc w:val="center"/>
              <w:rPr>
                <w:rFonts w:cs="Arial"/>
                <w:color w:val="141313"/>
                <w:sz w:val="16"/>
                <w:szCs w:val="16"/>
              </w:rPr>
            </w:pPr>
            <w:r>
              <w:rPr>
                <w:rFonts w:cs="Arial"/>
                <w:color w:val="141313"/>
                <w:sz w:val="16"/>
                <w:szCs w:val="16"/>
                <w:lang w:val="en-GB"/>
              </w:rPr>
              <w:t>Australia</w:t>
            </w:r>
          </w:p>
        </w:tc>
        <w:tc>
          <w:tcPr>
            <w:tcW w:w="2278" w:type="dxa"/>
            <w:vAlign w:val="bottom"/>
          </w:tcPr>
          <w:p w:rsidR="00DF692D" w:rsidRDefault="00DF692D" w:rsidP="009E2AB2">
            <w:pPr>
              <w:jc w:val="center"/>
              <w:rPr>
                <w:rFonts w:cs="Arial"/>
                <w:color w:val="141313"/>
                <w:sz w:val="16"/>
                <w:szCs w:val="16"/>
              </w:rPr>
            </w:pPr>
            <w:r>
              <w:rPr>
                <w:rFonts w:cs="Arial"/>
                <w:color w:val="141313"/>
                <w:sz w:val="16"/>
                <w:szCs w:val="16"/>
                <w:lang w:val="en-GB"/>
              </w:rPr>
              <w:t>Wheatstone LNG T1</w:t>
            </w:r>
          </w:p>
        </w:tc>
        <w:tc>
          <w:tcPr>
            <w:tcW w:w="900" w:type="dxa"/>
            <w:vAlign w:val="bottom"/>
          </w:tcPr>
          <w:p w:rsidR="00DF692D" w:rsidRDefault="00DF692D" w:rsidP="009E2AB2">
            <w:pPr>
              <w:jc w:val="center"/>
              <w:rPr>
                <w:rFonts w:cs="Arial"/>
                <w:color w:val="141313"/>
                <w:sz w:val="16"/>
                <w:szCs w:val="16"/>
              </w:rPr>
            </w:pPr>
            <w:r>
              <w:rPr>
                <w:rFonts w:cs="Arial"/>
                <w:color w:val="141313"/>
                <w:sz w:val="16"/>
                <w:szCs w:val="16"/>
                <w:lang w:val="en-GB"/>
              </w:rPr>
              <w:t>2016</w:t>
            </w:r>
          </w:p>
        </w:tc>
        <w:tc>
          <w:tcPr>
            <w:tcW w:w="1080" w:type="dxa"/>
            <w:vAlign w:val="bottom"/>
          </w:tcPr>
          <w:p w:rsidR="00DF692D" w:rsidRDefault="00DF692D" w:rsidP="009E2AB2">
            <w:pPr>
              <w:jc w:val="center"/>
              <w:rPr>
                <w:rFonts w:cs="Arial"/>
                <w:color w:val="141313"/>
                <w:sz w:val="16"/>
                <w:szCs w:val="16"/>
              </w:rPr>
            </w:pPr>
            <w:r>
              <w:rPr>
                <w:rFonts w:cs="Arial"/>
                <w:color w:val="141313"/>
                <w:sz w:val="16"/>
                <w:szCs w:val="16"/>
                <w:lang w:val="en-GB"/>
              </w:rPr>
              <w:t>4.5</w:t>
            </w:r>
          </w:p>
        </w:tc>
        <w:tc>
          <w:tcPr>
            <w:tcW w:w="4500" w:type="dxa"/>
            <w:vAlign w:val="center"/>
          </w:tcPr>
          <w:p w:rsidR="00DF692D" w:rsidRDefault="00DF692D" w:rsidP="009E2AB2">
            <w:pPr>
              <w:rPr>
                <w:rFonts w:cs="Arial"/>
                <w:color w:val="141313"/>
                <w:sz w:val="16"/>
                <w:szCs w:val="16"/>
              </w:rPr>
            </w:pPr>
            <w:r>
              <w:rPr>
                <w:rFonts w:cs="Arial"/>
                <w:color w:val="141313"/>
                <w:sz w:val="16"/>
                <w:szCs w:val="16"/>
                <w:lang w:val="en-GB"/>
              </w:rPr>
              <w:t>Chevron, Apache, Pan Pacific Energy, KUFPEC, Shell, Kyushu Electric</w:t>
            </w:r>
          </w:p>
        </w:tc>
      </w:tr>
      <w:tr w:rsidR="00D915DD" w:rsidRPr="00AE7E23" w:rsidTr="009E2AB2">
        <w:trPr>
          <w:cnfStyle w:val="000000010000"/>
          <w:trHeight w:val="246"/>
        </w:trPr>
        <w:tc>
          <w:tcPr>
            <w:tcW w:w="1430" w:type="dxa"/>
            <w:vAlign w:val="bottom"/>
          </w:tcPr>
          <w:p w:rsidR="00D915DD" w:rsidRDefault="00D915DD" w:rsidP="00D915DD">
            <w:pPr>
              <w:jc w:val="center"/>
              <w:rPr>
                <w:rFonts w:cs="Arial"/>
                <w:color w:val="141313"/>
                <w:sz w:val="16"/>
                <w:szCs w:val="16"/>
              </w:rPr>
            </w:pPr>
            <w:r>
              <w:rPr>
                <w:rFonts w:cs="Arial"/>
                <w:color w:val="141313"/>
                <w:sz w:val="16"/>
                <w:szCs w:val="16"/>
                <w:lang w:val="en-GB"/>
              </w:rPr>
              <w:t>US</w:t>
            </w:r>
          </w:p>
        </w:tc>
        <w:tc>
          <w:tcPr>
            <w:tcW w:w="2278" w:type="dxa"/>
            <w:vAlign w:val="bottom"/>
          </w:tcPr>
          <w:p w:rsidR="00D915DD" w:rsidRDefault="00D915DD" w:rsidP="00D915DD">
            <w:pPr>
              <w:jc w:val="center"/>
              <w:rPr>
                <w:rFonts w:cs="Arial"/>
                <w:color w:val="141313"/>
                <w:sz w:val="16"/>
                <w:szCs w:val="16"/>
              </w:rPr>
            </w:pPr>
            <w:r>
              <w:rPr>
                <w:rFonts w:cs="Arial"/>
                <w:color w:val="141313"/>
                <w:sz w:val="16"/>
                <w:szCs w:val="16"/>
                <w:lang w:val="en-GB"/>
              </w:rPr>
              <w:t>Sabine Pass T2</w:t>
            </w:r>
          </w:p>
        </w:tc>
        <w:tc>
          <w:tcPr>
            <w:tcW w:w="900" w:type="dxa"/>
            <w:vAlign w:val="bottom"/>
          </w:tcPr>
          <w:p w:rsidR="00D915DD" w:rsidRDefault="00D915DD" w:rsidP="00D915DD">
            <w:pPr>
              <w:jc w:val="center"/>
              <w:rPr>
                <w:rFonts w:cs="Arial"/>
                <w:color w:val="141313"/>
                <w:sz w:val="16"/>
                <w:szCs w:val="16"/>
              </w:rPr>
            </w:pPr>
            <w:r>
              <w:rPr>
                <w:rFonts w:cs="Arial"/>
                <w:color w:val="141313"/>
                <w:sz w:val="16"/>
                <w:szCs w:val="16"/>
                <w:lang w:val="en-GB"/>
              </w:rPr>
              <w:t>2016</w:t>
            </w:r>
          </w:p>
        </w:tc>
        <w:tc>
          <w:tcPr>
            <w:tcW w:w="1080" w:type="dxa"/>
            <w:vAlign w:val="bottom"/>
          </w:tcPr>
          <w:p w:rsidR="00D915DD" w:rsidRDefault="00D915DD" w:rsidP="00D915DD">
            <w:pPr>
              <w:jc w:val="center"/>
              <w:rPr>
                <w:rFonts w:cs="Arial"/>
                <w:color w:val="141313"/>
                <w:sz w:val="16"/>
                <w:szCs w:val="16"/>
              </w:rPr>
            </w:pPr>
            <w:r>
              <w:rPr>
                <w:rFonts w:cs="Arial"/>
                <w:color w:val="141313"/>
                <w:sz w:val="16"/>
                <w:szCs w:val="16"/>
                <w:lang w:val="en-GB"/>
              </w:rPr>
              <w:t>4.5</w:t>
            </w:r>
          </w:p>
        </w:tc>
        <w:tc>
          <w:tcPr>
            <w:tcW w:w="4500" w:type="dxa"/>
            <w:vAlign w:val="center"/>
          </w:tcPr>
          <w:p w:rsidR="00D915DD" w:rsidRDefault="00D915DD" w:rsidP="00D915DD">
            <w:pPr>
              <w:rPr>
                <w:rFonts w:cs="Arial"/>
                <w:color w:val="141313"/>
                <w:sz w:val="16"/>
                <w:szCs w:val="16"/>
              </w:rPr>
            </w:pPr>
            <w:r>
              <w:rPr>
                <w:rFonts w:cs="Arial"/>
                <w:color w:val="141313"/>
                <w:sz w:val="16"/>
                <w:szCs w:val="16"/>
                <w:lang w:val="en-GB"/>
              </w:rPr>
              <w:t>Cheniere</w:t>
            </w:r>
          </w:p>
        </w:tc>
      </w:tr>
      <w:tr w:rsidR="00D915DD" w:rsidRPr="00AE7E23" w:rsidTr="009E2AB2">
        <w:trPr>
          <w:cnfStyle w:val="000000100000"/>
          <w:trHeight w:val="246"/>
        </w:trPr>
        <w:tc>
          <w:tcPr>
            <w:tcW w:w="1430" w:type="dxa"/>
            <w:vAlign w:val="bottom"/>
          </w:tcPr>
          <w:p w:rsidR="00D915DD" w:rsidRDefault="00D915DD" w:rsidP="00D915DD">
            <w:pPr>
              <w:jc w:val="center"/>
              <w:rPr>
                <w:rFonts w:cs="Arial"/>
                <w:color w:val="141313"/>
                <w:sz w:val="16"/>
                <w:szCs w:val="16"/>
              </w:rPr>
            </w:pPr>
            <w:r>
              <w:rPr>
                <w:rFonts w:cs="Arial"/>
                <w:color w:val="141313"/>
                <w:sz w:val="16"/>
                <w:szCs w:val="16"/>
                <w:lang w:val="en-GB"/>
              </w:rPr>
              <w:t>US</w:t>
            </w:r>
          </w:p>
        </w:tc>
        <w:tc>
          <w:tcPr>
            <w:tcW w:w="2278" w:type="dxa"/>
            <w:vAlign w:val="bottom"/>
          </w:tcPr>
          <w:p w:rsidR="00D915DD" w:rsidRDefault="00D915DD" w:rsidP="00D915DD">
            <w:pPr>
              <w:jc w:val="center"/>
              <w:rPr>
                <w:rFonts w:cs="Arial"/>
                <w:color w:val="141313"/>
                <w:sz w:val="16"/>
                <w:szCs w:val="16"/>
              </w:rPr>
            </w:pPr>
            <w:r>
              <w:rPr>
                <w:rFonts w:cs="Arial"/>
                <w:color w:val="141313"/>
                <w:sz w:val="16"/>
                <w:szCs w:val="16"/>
                <w:lang w:val="en-GB"/>
              </w:rPr>
              <w:t>Sabine Pass T3</w:t>
            </w:r>
          </w:p>
        </w:tc>
        <w:tc>
          <w:tcPr>
            <w:tcW w:w="900" w:type="dxa"/>
            <w:vAlign w:val="bottom"/>
          </w:tcPr>
          <w:p w:rsidR="00D915DD" w:rsidRDefault="00D915DD" w:rsidP="00D915DD">
            <w:pPr>
              <w:jc w:val="center"/>
              <w:rPr>
                <w:rFonts w:cs="Arial"/>
                <w:color w:val="141313"/>
                <w:sz w:val="16"/>
                <w:szCs w:val="16"/>
              </w:rPr>
            </w:pPr>
            <w:r>
              <w:rPr>
                <w:rFonts w:cs="Arial"/>
                <w:color w:val="141313"/>
                <w:sz w:val="16"/>
                <w:szCs w:val="16"/>
                <w:lang w:val="en-GB"/>
              </w:rPr>
              <w:t>2016</w:t>
            </w:r>
          </w:p>
        </w:tc>
        <w:tc>
          <w:tcPr>
            <w:tcW w:w="1080" w:type="dxa"/>
            <w:vAlign w:val="bottom"/>
          </w:tcPr>
          <w:p w:rsidR="00D915DD" w:rsidRDefault="00D915DD" w:rsidP="00D915DD">
            <w:pPr>
              <w:jc w:val="center"/>
              <w:rPr>
                <w:rFonts w:cs="Arial"/>
                <w:color w:val="141313"/>
                <w:sz w:val="16"/>
                <w:szCs w:val="16"/>
              </w:rPr>
            </w:pPr>
            <w:r>
              <w:rPr>
                <w:rFonts w:cs="Arial"/>
                <w:color w:val="141313"/>
                <w:sz w:val="16"/>
                <w:szCs w:val="16"/>
                <w:lang w:val="en-GB"/>
              </w:rPr>
              <w:t>4.5</w:t>
            </w:r>
          </w:p>
        </w:tc>
        <w:tc>
          <w:tcPr>
            <w:tcW w:w="4500" w:type="dxa"/>
            <w:vAlign w:val="center"/>
          </w:tcPr>
          <w:p w:rsidR="00D915DD" w:rsidRDefault="00D915DD" w:rsidP="00D915DD">
            <w:pPr>
              <w:rPr>
                <w:rFonts w:cs="Arial"/>
                <w:color w:val="141313"/>
                <w:sz w:val="16"/>
                <w:szCs w:val="16"/>
              </w:rPr>
            </w:pPr>
            <w:r>
              <w:rPr>
                <w:rFonts w:cs="Arial"/>
                <w:color w:val="141313"/>
                <w:sz w:val="16"/>
                <w:szCs w:val="16"/>
                <w:lang w:val="en-GB"/>
              </w:rPr>
              <w:t>Cheniere</w:t>
            </w:r>
          </w:p>
        </w:tc>
      </w:tr>
      <w:tr w:rsidR="00D915DD" w:rsidRPr="00AE7E23" w:rsidTr="009E2AB2">
        <w:trPr>
          <w:cnfStyle w:val="000000010000"/>
          <w:trHeight w:val="246"/>
        </w:trPr>
        <w:tc>
          <w:tcPr>
            <w:tcW w:w="1430" w:type="dxa"/>
            <w:vAlign w:val="bottom"/>
          </w:tcPr>
          <w:p w:rsidR="00D915DD" w:rsidRDefault="00D915DD" w:rsidP="00D915DD">
            <w:pPr>
              <w:jc w:val="center"/>
              <w:rPr>
                <w:rFonts w:cs="Arial"/>
                <w:color w:val="141313"/>
                <w:sz w:val="16"/>
                <w:szCs w:val="16"/>
              </w:rPr>
            </w:pPr>
            <w:r>
              <w:rPr>
                <w:rFonts w:cs="Arial"/>
                <w:color w:val="141313"/>
                <w:sz w:val="16"/>
                <w:szCs w:val="16"/>
                <w:lang w:val="en-GB"/>
              </w:rPr>
              <w:t>US</w:t>
            </w:r>
          </w:p>
        </w:tc>
        <w:tc>
          <w:tcPr>
            <w:tcW w:w="2278" w:type="dxa"/>
            <w:vAlign w:val="bottom"/>
          </w:tcPr>
          <w:p w:rsidR="00D915DD" w:rsidRDefault="00D915DD" w:rsidP="00D915DD">
            <w:pPr>
              <w:jc w:val="center"/>
              <w:rPr>
                <w:rFonts w:cs="Arial"/>
                <w:color w:val="141313"/>
                <w:sz w:val="16"/>
                <w:szCs w:val="16"/>
              </w:rPr>
            </w:pPr>
            <w:r>
              <w:rPr>
                <w:rFonts w:cs="Arial"/>
                <w:color w:val="141313"/>
                <w:sz w:val="16"/>
                <w:szCs w:val="16"/>
                <w:lang w:val="en-GB"/>
              </w:rPr>
              <w:t>Sabine Pass T4</w:t>
            </w:r>
          </w:p>
        </w:tc>
        <w:tc>
          <w:tcPr>
            <w:tcW w:w="900" w:type="dxa"/>
            <w:vAlign w:val="bottom"/>
          </w:tcPr>
          <w:p w:rsidR="00D915DD" w:rsidRDefault="00D915DD" w:rsidP="00D915DD">
            <w:pPr>
              <w:jc w:val="center"/>
              <w:rPr>
                <w:rFonts w:cs="Arial"/>
                <w:color w:val="141313"/>
                <w:sz w:val="16"/>
                <w:szCs w:val="16"/>
              </w:rPr>
            </w:pPr>
            <w:r>
              <w:rPr>
                <w:rFonts w:cs="Arial"/>
                <w:color w:val="141313"/>
                <w:sz w:val="16"/>
                <w:szCs w:val="16"/>
                <w:lang w:val="en-GB"/>
              </w:rPr>
              <w:t>2017</w:t>
            </w:r>
          </w:p>
        </w:tc>
        <w:tc>
          <w:tcPr>
            <w:tcW w:w="1080" w:type="dxa"/>
            <w:vAlign w:val="bottom"/>
          </w:tcPr>
          <w:p w:rsidR="00D915DD" w:rsidRDefault="00D915DD" w:rsidP="00D915DD">
            <w:pPr>
              <w:jc w:val="center"/>
              <w:rPr>
                <w:rFonts w:cs="Arial"/>
                <w:color w:val="141313"/>
                <w:sz w:val="16"/>
                <w:szCs w:val="16"/>
              </w:rPr>
            </w:pPr>
            <w:r>
              <w:rPr>
                <w:rFonts w:cs="Arial"/>
                <w:color w:val="141313"/>
                <w:sz w:val="16"/>
                <w:szCs w:val="16"/>
                <w:lang w:val="en-GB"/>
              </w:rPr>
              <w:t>4.5</w:t>
            </w:r>
          </w:p>
        </w:tc>
        <w:tc>
          <w:tcPr>
            <w:tcW w:w="4500" w:type="dxa"/>
            <w:vAlign w:val="center"/>
          </w:tcPr>
          <w:p w:rsidR="00D915DD" w:rsidRDefault="00D915DD" w:rsidP="00D915DD">
            <w:pPr>
              <w:rPr>
                <w:rFonts w:cs="Arial"/>
                <w:color w:val="141313"/>
                <w:sz w:val="16"/>
                <w:szCs w:val="16"/>
              </w:rPr>
            </w:pPr>
            <w:r>
              <w:rPr>
                <w:rFonts w:cs="Arial"/>
                <w:color w:val="141313"/>
                <w:sz w:val="16"/>
                <w:szCs w:val="16"/>
                <w:lang w:val="en-GB"/>
              </w:rPr>
              <w:t>Cheniere</w:t>
            </w:r>
          </w:p>
        </w:tc>
      </w:tr>
      <w:tr w:rsidR="00D915DD" w:rsidRPr="00AE7E23" w:rsidTr="009E2AB2">
        <w:trPr>
          <w:cnfStyle w:val="000000100000"/>
          <w:trHeight w:val="246"/>
        </w:trPr>
        <w:tc>
          <w:tcPr>
            <w:tcW w:w="1430" w:type="dxa"/>
            <w:vAlign w:val="bottom"/>
          </w:tcPr>
          <w:p w:rsidR="00D915DD" w:rsidRDefault="00D915DD" w:rsidP="00D915DD">
            <w:pPr>
              <w:jc w:val="center"/>
              <w:rPr>
                <w:rFonts w:cs="Arial"/>
                <w:color w:val="141313"/>
                <w:sz w:val="16"/>
                <w:szCs w:val="16"/>
              </w:rPr>
            </w:pPr>
            <w:r>
              <w:rPr>
                <w:rFonts w:cs="Arial"/>
                <w:color w:val="141313"/>
                <w:sz w:val="16"/>
                <w:szCs w:val="16"/>
                <w:lang w:val="en-GB"/>
              </w:rPr>
              <w:t>Australia</w:t>
            </w:r>
          </w:p>
        </w:tc>
        <w:tc>
          <w:tcPr>
            <w:tcW w:w="2278" w:type="dxa"/>
            <w:vAlign w:val="bottom"/>
          </w:tcPr>
          <w:p w:rsidR="00D915DD" w:rsidRDefault="00D915DD" w:rsidP="00D915DD">
            <w:pPr>
              <w:jc w:val="center"/>
              <w:rPr>
                <w:rFonts w:cs="Arial"/>
                <w:color w:val="141313"/>
                <w:sz w:val="16"/>
                <w:szCs w:val="16"/>
              </w:rPr>
            </w:pPr>
            <w:r>
              <w:rPr>
                <w:rFonts w:cs="Arial"/>
                <w:color w:val="141313"/>
                <w:sz w:val="16"/>
                <w:szCs w:val="16"/>
                <w:lang w:val="en-GB"/>
              </w:rPr>
              <w:t>Wheatstone LNG T2</w:t>
            </w:r>
          </w:p>
        </w:tc>
        <w:tc>
          <w:tcPr>
            <w:tcW w:w="900" w:type="dxa"/>
            <w:vAlign w:val="bottom"/>
          </w:tcPr>
          <w:p w:rsidR="00D915DD" w:rsidRDefault="00D915DD" w:rsidP="00D915DD">
            <w:pPr>
              <w:jc w:val="center"/>
              <w:rPr>
                <w:rFonts w:cs="Arial"/>
                <w:color w:val="141313"/>
                <w:sz w:val="16"/>
                <w:szCs w:val="16"/>
              </w:rPr>
            </w:pPr>
            <w:r>
              <w:rPr>
                <w:rFonts w:cs="Arial"/>
                <w:color w:val="141313"/>
                <w:sz w:val="16"/>
                <w:szCs w:val="16"/>
                <w:lang w:val="en-GB"/>
              </w:rPr>
              <w:t>2017</w:t>
            </w:r>
          </w:p>
        </w:tc>
        <w:tc>
          <w:tcPr>
            <w:tcW w:w="1080" w:type="dxa"/>
            <w:vAlign w:val="bottom"/>
          </w:tcPr>
          <w:p w:rsidR="00D915DD" w:rsidRDefault="00D915DD" w:rsidP="00D915DD">
            <w:pPr>
              <w:jc w:val="center"/>
              <w:rPr>
                <w:rFonts w:cs="Arial"/>
                <w:color w:val="141313"/>
                <w:sz w:val="16"/>
                <w:szCs w:val="16"/>
              </w:rPr>
            </w:pPr>
            <w:r>
              <w:rPr>
                <w:rFonts w:cs="Arial"/>
                <w:color w:val="141313"/>
                <w:sz w:val="16"/>
                <w:szCs w:val="16"/>
                <w:lang w:val="en-GB"/>
              </w:rPr>
              <w:t>4.5</w:t>
            </w:r>
          </w:p>
        </w:tc>
        <w:tc>
          <w:tcPr>
            <w:tcW w:w="4500" w:type="dxa"/>
            <w:vAlign w:val="center"/>
          </w:tcPr>
          <w:p w:rsidR="00D915DD" w:rsidRDefault="00D915DD" w:rsidP="00D915DD">
            <w:pPr>
              <w:rPr>
                <w:rFonts w:cs="Arial"/>
                <w:color w:val="141313"/>
                <w:sz w:val="16"/>
                <w:szCs w:val="16"/>
              </w:rPr>
            </w:pPr>
            <w:r>
              <w:rPr>
                <w:rFonts w:cs="Arial"/>
                <w:color w:val="141313"/>
                <w:sz w:val="16"/>
                <w:szCs w:val="16"/>
                <w:lang w:val="en-GB"/>
              </w:rPr>
              <w:t>Chevron, Apache, Pan Pacific Energy, KUFPEC, Shell, Kyushu Electric</w:t>
            </w:r>
          </w:p>
        </w:tc>
      </w:tr>
      <w:tr w:rsidR="00D915DD" w:rsidRPr="00AE7E23" w:rsidTr="009E2AB2">
        <w:trPr>
          <w:cnfStyle w:val="000000010000"/>
          <w:trHeight w:val="246"/>
        </w:trPr>
        <w:tc>
          <w:tcPr>
            <w:tcW w:w="1430" w:type="dxa"/>
            <w:vAlign w:val="bottom"/>
          </w:tcPr>
          <w:p w:rsidR="00D915DD" w:rsidRDefault="00D915DD" w:rsidP="00D915DD">
            <w:pPr>
              <w:jc w:val="center"/>
              <w:rPr>
                <w:rFonts w:cs="Arial"/>
                <w:color w:val="141313"/>
                <w:sz w:val="16"/>
                <w:szCs w:val="16"/>
              </w:rPr>
            </w:pPr>
            <w:r>
              <w:rPr>
                <w:rFonts w:cs="Arial"/>
                <w:color w:val="141313"/>
                <w:sz w:val="16"/>
                <w:szCs w:val="16"/>
                <w:lang w:val="en-GB"/>
              </w:rPr>
              <w:t>Australia</w:t>
            </w:r>
          </w:p>
        </w:tc>
        <w:tc>
          <w:tcPr>
            <w:tcW w:w="2278" w:type="dxa"/>
            <w:vAlign w:val="bottom"/>
          </w:tcPr>
          <w:p w:rsidR="00D915DD" w:rsidRDefault="00D915DD" w:rsidP="00D915DD">
            <w:pPr>
              <w:jc w:val="center"/>
              <w:rPr>
                <w:rFonts w:cs="Arial"/>
                <w:color w:val="141313"/>
                <w:sz w:val="16"/>
                <w:szCs w:val="16"/>
              </w:rPr>
            </w:pPr>
            <w:r>
              <w:rPr>
                <w:rFonts w:cs="Arial"/>
                <w:color w:val="141313"/>
                <w:sz w:val="16"/>
                <w:szCs w:val="16"/>
                <w:lang w:val="en-GB"/>
              </w:rPr>
              <w:t>Ichthys LNG T1</w:t>
            </w:r>
          </w:p>
        </w:tc>
        <w:tc>
          <w:tcPr>
            <w:tcW w:w="900" w:type="dxa"/>
            <w:vAlign w:val="bottom"/>
          </w:tcPr>
          <w:p w:rsidR="00D915DD" w:rsidRDefault="00D915DD" w:rsidP="00D915DD">
            <w:pPr>
              <w:jc w:val="center"/>
              <w:rPr>
                <w:rFonts w:cs="Arial"/>
                <w:color w:val="141313"/>
                <w:sz w:val="16"/>
                <w:szCs w:val="16"/>
              </w:rPr>
            </w:pPr>
            <w:r>
              <w:rPr>
                <w:rFonts w:cs="Arial"/>
                <w:color w:val="141313"/>
                <w:sz w:val="16"/>
                <w:szCs w:val="16"/>
                <w:lang w:val="en-GB"/>
              </w:rPr>
              <w:t>2017</w:t>
            </w:r>
          </w:p>
        </w:tc>
        <w:tc>
          <w:tcPr>
            <w:tcW w:w="1080" w:type="dxa"/>
            <w:vAlign w:val="bottom"/>
          </w:tcPr>
          <w:p w:rsidR="00D915DD" w:rsidRDefault="00D915DD" w:rsidP="00D915DD">
            <w:pPr>
              <w:jc w:val="center"/>
              <w:rPr>
                <w:rFonts w:cs="Arial"/>
                <w:color w:val="141313"/>
                <w:sz w:val="16"/>
                <w:szCs w:val="16"/>
              </w:rPr>
            </w:pPr>
            <w:r>
              <w:rPr>
                <w:rFonts w:cs="Arial"/>
                <w:color w:val="141313"/>
                <w:sz w:val="16"/>
                <w:szCs w:val="16"/>
                <w:lang w:val="en-GB"/>
              </w:rPr>
              <w:t>4.2</w:t>
            </w:r>
          </w:p>
        </w:tc>
        <w:tc>
          <w:tcPr>
            <w:tcW w:w="4500" w:type="dxa"/>
            <w:vAlign w:val="center"/>
          </w:tcPr>
          <w:p w:rsidR="00D915DD" w:rsidRDefault="00D915DD" w:rsidP="00D915DD">
            <w:pPr>
              <w:rPr>
                <w:rFonts w:cs="Arial"/>
                <w:color w:val="141313"/>
                <w:sz w:val="16"/>
                <w:szCs w:val="16"/>
              </w:rPr>
            </w:pPr>
            <w:r>
              <w:rPr>
                <w:rFonts w:cs="Arial"/>
                <w:color w:val="141313"/>
                <w:sz w:val="16"/>
                <w:szCs w:val="16"/>
                <w:lang w:val="en-GB"/>
              </w:rPr>
              <w:t>INPEX, TOTAL, Tokyo Gas, Osaka Gas, Chubu Electric, Toho Gas</w:t>
            </w:r>
          </w:p>
        </w:tc>
      </w:tr>
      <w:tr w:rsidR="00D915DD" w:rsidRPr="00AE7E23" w:rsidTr="009E2AB2">
        <w:trPr>
          <w:cnfStyle w:val="000000100000"/>
          <w:trHeight w:val="246"/>
        </w:trPr>
        <w:tc>
          <w:tcPr>
            <w:tcW w:w="1430" w:type="dxa"/>
            <w:vAlign w:val="bottom"/>
          </w:tcPr>
          <w:p w:rsidR="00D915DD" w:rsidRDefault="00D915DD" w:rsidP="00D915DD">
            <w:pPr>
              <w:jc w:val="center"/>
              <w:rPr>
                <w:rFonts w:cs="Arial"/>
                <w:color w:val="141313"/>
                <w:sz w:val="16"/>
                <w:szCs w:val="16"/>
              </w:rPr>
            </w:pPr>
            <w:r>
              <w:rPr>
                <w:rFonts w:cs="Arial"/>
                <w:color w:val="141313"/>
                <w:sz w:val="16"/>
                <w:szCs w:val="16"/>
                <w:lang w:val="en-GB"/>
              </w:rPr>
              <w:t>Australia</w:t>
            </w:r>
          </w:p>
        </w:tc>
        <w:tc>
          <w:tcPr>
            <w:tcW w:w="2278" w:type="dxa"/>
            <w:vAlign w:val="bottom"/>
          </w:tcPr>
          <w:p w:rsidR="00D915DD" w:rsidRDefault="00D915DD" w:rsidP="00D915DD">
            <w:pPr>
              <w:jc w:val="center"/>
              <w:rPr>
                <w:rFonts w:cs="Arial"/>
                <w:color w:val="141313"/>
                <w:sz w:val="16"/>
                <w:szCs w:val="16"/>
              </w:rPr>
            </w:pPr>
            <w:r>
              <w:rPr>
                <w:rFonts w:cs="Arial"/>
                <w:color w:val="141313"/>
                <w:sz w:val="16"/>
                <w:szCs w:val="16"/>
                <w:lang w:val="en-GB"/>
              </w:rPr>
              <w:t>Ichthys LNG T2</w:t>
            </w:r>
          </w:p>
        </w:tc>
        <w:tc>
          <w:tcPr>
            <w:tcW w:w="900" w:type="dxa"/>
            <w:vAlign w:val="bottom"/>
          </w:tcPr>
          <w:p w:rsidR="00D915DD" w:rsidRDefault="00D915DD" w:rsidP="00D915DD">
            <w:pPr>
              <w:jc w:val="center"/>
              <w:rPr>
                <w:rFonts w:cs="Arial"/>
                <w:color w:val="141313"/>
                <w:sz w:val="16"/>
                <w:szCs w:val="16"/>
              </w:rPr>
            </w:pPr>
            <w:r>
              <w:rPr>
                <w:rFonts w:cs="Arial"/>
                <w:color w:val="141313"/>
                <w:sz w:val="16"/>
                <w:szCs w:val="16"/>
                <w:lang w:val="en-GB"/>
              </w:rPr>
              <w:t>2017</w:t>
            </w:r>
          </w:p>
        </w:tc>
        <w:tc>
          <w:tcPr>
            <w:tcW w:w="1080" w:type="dxa"/>
            <w:vAlign w:val="bottom"/>
          </w:tcPr>
          <w:p w:rsidR="00D915DD" w:rsidRDefault="00D915DD" w:rsidP="00D915DD">
            <w:pPr>
              <w:jc w:val="center"/>
              <w:rPr>
                <w:rFonts w:cs="Arial"/>
                <w:color w:val="141313"/>
                <w:sz w:val="16"/>
                <w:szCs w:val="16"/>
              </w:rPr>
            </w:pPr>
            <w:r>
              <w:rPr>
                <w:rFonts w:cs="Arial"/>
                <w:color w:val="141313"/>
                <w:sz w:val="16"/>
                <w:szCs w:val="16"/>
                <w:lang w:val="en-GB"/>
              </w:rPr>
              <w:t>4.2</w:t>
            </w:r>
          </w:p>
        </w:tc>
        <w:tc>
          <w:tcPr>
            <w:tcW w:w="4500" w:type="dxa"/>
            <w:vAlign w:val="center"/>
          </w:tcPr>
          <w:p w:rsidR="00D915DD" w:rsidRDefault="00D915DD" w:rsidP="00D915DD">
            <w:pPr>
              <w:rPr>
                <w:rFonts w:cs="Arial"/>
                <w:color w:val="141313"/>
                <w:sz w:val="16"/>
                <w:szCs w:val="16"/>
              </w:rPr>
            </w:pPr>
            <w:r>
              <w:rPr>
                <w:rFonts w:cs="Arial"/>
                <w:color w:val="141313"/>
                <w:sz w:val="16"/>
                <w:szCs w:val="16"/>
                <w:lang w:val="en-GB"/>
              </w:rPr>
              <w:t>INPEX, TOTAL, Tokyo Gas, Osaka Gas, Chubu Electric, Toho Gas</w:t>
            </w:r>
          </w:p>
        </w:tc>
      </w:tr>
      <w:tr w:rsidR="00D915DD" w:rsidRPr="00AE7E23" w:rsidTr="009E2AB2">
        <w:trPr>
          <w:cnfStyle w:val="000000010000"/>
          <w:trHeight w:val="246"/>
        </w:trPr>
        <w:tc>
          <w:tcPr>
            <w:tcW w:w="1430" w:type="dxa"/>
            <w:vAlign w:val="bottom"/>
          </w:tcPr>
          <w:p w:rsidR="00D915DD" w:rsidRDefault="00D915DD" w:rsidP="00D915DD">
            <w:pPr>
              <w:jc w:val="center"/>
              <w:rPr>
                <w:rFonts w:cs="Arial"/>
                <w:color w:val="141313"/>
                <w:sz w:val="16"/>
                <w:szCs w:val="16"/>
              </w:rPr>
            </w:pPr>
            <w:r>
              <w:rPr>
                <w:rFonts w:cs="Arial"/>
                <w:color w:val="141313"/>
                <w:sz w:val="16"/>
                <w:szCs w:val="16"/>
                <w:lang w:val="en-GB"/>
              </w:rPr>
              <w:t>Australia</w:t>
            </w:r>
          </w:p>
        </w:tc>
        <w:tc>
          <w:tcPr>
            <w:tcW w:w="2278" w:type="dxa"/>
            <w:vAlign w:val="bottom"/>
          </w:tcPr>
          <w:p w:rsidR="00D915DD" w:rsidRDefault="00D915DD" w:rsidP="00D915DD">
            <w:pPr>
              <w:jc w:val="center"/>
              <w:rPr>
                <w:rFonts w:cs="Arial"/>
                <w:color w:val="141313"/>
                <w:sz w:val="16"/>
                <w:szCs w:val="16"/>
              </w:rPr>
            </w:pPr>
            <w:r>
              <w:rPr>
                <w:rFonts w:cs="Arial"/>
                <w:color w:val="141313"/>
                <w:sz w:val="16"/>
                <w:szCs w:val="16"/>
                <w:lang w:val="en-GB"/>
              </w:rPr>
              <w:t>Prelude LNG (Floating)</w:t>
            </w:r>
          </w:p>
        </w:tc>
        <w:tc>
          <w:tcPr>
            <w:tcW w:w="900" w:type="dxa"/>
            <w:vAlign w:val="bottom"/>
          </w:tcPr>
          <w:p w:rsidR="00D915DD" w:rsidRDefault="00D915DD" w:rsidP="00D915DD">
            <w:pPr>
              <w:jc w:val="center"/>
              <w:rPr>
                <w:rFonts w:cs="Arial"/>
                <w:color w:val="141313"/>
                <w:sz w:val="16"/>
                <w:szCs w:val="16"/>
              </w:rPr>
            </w:pPr>
            <w:r>
              <w:rPr>
                <w:rFonts w:cs="Arial"/>
                <w:color w:val="141313"/>
                <w:sz w:val="16"/>
                <w:szCs w:val="16"/>
                <w:lang w:val="en-GB"/>
              </w:rPr>
              <w:t>2017</w:t>
            </w:r>
          </w:p>
        </w:tc>
        <w:tc>
          <w:tcPr>
            <w:tcW w:w="1080" w:type="dxa"/>
            <w:vAlign w:val="bottom"/>
          </w:tcPr>
          <w:p w:rsidR="00D915DD" w:rsidRDefault="00D915DD" w:rsidP="00D915DD">
            <w:pPr>
              <w:jc w:val="center"/>
              <w:rPr>
                <w:rFonts w:cs="Arial"/>
                <w:color w:val="141313"/>
                <w:sz w:val="16"/>
                <w:szCs w:val="16"/>
              </w:rPr>
            </w:pPr>
            <w:r>
              <w:rPr>
                <w:rFonts w:cs="Arial"/>
                <w:color w:val="141313"/>
                <w:sz w:val="16"/>
                <w:szCs w:val="16"/>
                <w:lang w:val="en-GB"/>
              </w:rPr>
              <w:t>3.6</w:t>
            </w:r>
          </w:p>
        </w:tc>
        <w:tc>
          <w:tcPr>
            <w:tcW w:w="4500" w:type="dxa"/>
            <w:vAlign w:val="center"/>
          </w:tcPr>
          <w:p w:rsidR="00D915DD" w:rsidRDefault="00D915DD" w:rsidP="00D915DD">
            <w:pPr>
              <w:rPr>
                <w:rFonts w:cs="Arial"/>
                <w:color w:val="141313"/>
                <w:sz w:val="16"/>
                <w:szCs w:val="16"/>
              </w:rPr>
            </w:pPr>
            <w:r>
              <w:rPr>
                <w:rFonts w:cs="Arial"/>
                <w:color w:val="141313"/>
                <w:sz w:val="16"/>
                <w:szCs w:val="16"/>
                <w:lang w:val="en-GB"/>
              </w:rPr>
              <w:t>Shell, INPEX, KOGAS, CPC</w:t>
            </w:r>
          </w:p>
        </w:tc>
      </w:tr>
    </w:tbl>
    <w:p w:rsidR="00DF692D" w:rsidRPr="00905985" w:rsidRDefault="00DF692D" w:rsidP="00DF692D">
      <w:pPr>
        <w:pStyle w:val="PFCBulletedText2"/>
        <w:framePr w:hSpace="180" w:wrap="around" w:vAnchor="text" w:hAnchor="margin" w:y="5"/>
        <w:ind w:left="0" w:firstLine="0"/>
        <w:jc w:val="left"/>
        <w:rPr>
          <w:i/>
          <w:sz w:val="16"/>
          <w:szCs w:val="16"/>
        </w:rPr>
      </w:pPr>
      <w:r w:rsidRPr="0024517D">
        <w:rPr>
          <w:i/>
          <w:sz w:val="16"/>
          <w:szCs w:val="16"/>
        </w:rPr>
        <w:t xml:space="preserve">Source: </w:t>
      </w:r>
      <w:r w:rsidRPr="00905985">
        <w:rPr>
          <w:i/>
          <w:sz w:val="16"/>
          <w:szCs w:val="16"/>
        </w:rPr>
        <w:t>PFC Energy Global LNG Service, Company Announcements</w:t>
      </w:r>
    </w:p>
    <w:p w:rsidR="00DF692D" w:rsidRDefault="00DF692D" w:rsidP="00DF692D">
      <w:pPr>
        <w:framePr w:hSpace="180" w:wrap="around" w:vAnchor="text" w:hAnchor="margin" w:y="5"/>
        <w:rPr>
          <w:i/>
          <w:sz w:val="16"/>
          <w:szCs w:val="16"/>
          <w:lang w:val="en-GB"/>
        </w:rPr>
      </w:pPr>
      <w:r w:rsidRPr="00905985">
        <w:rPr>
          <w:i/>
          <w:sz w:val="16"/>
          <w:szCs w:val="16"/>
          <w:lang w:val="en-GB"/>
        </w:rPr>
        <w:t>* Companies are listed by size of ownership stake, starting with the largest stake</w:t>
      </w:r>
    </w:p>
    <w:p w:rsidR="00AC0F48" w:rsidRPr="00C83A8E" w:rsidRDefault="00AC0F48" w:rsidP="00DF692D">
      <w:pPr>
        <w:framePr w:hSpace="180" w:wrap="around" w:vAnchor="text" w:hAnchor="margin" w:y="5"/>
        <w:rPr>
          <w:i/>
          <w:sz w:val="16"/>
          <w:szCs w:val="16"/>
          <w:lang w:val="en-GB"/>
        </w:rPr>
      </w:pPr>
      <w:r w:rsidRPr="00C83A8E">
        <w:rPr>
          <w:i/>
          <w:sz w:val="16"/>
          <w:szCs w:val="16"/>
          <w:lang w:val="en-GB"/>
        </w:rPr>
        <w:t xml:space="preserve">** Construction has been completed, but the project has yet to deliver </w:t>
      </w:r>
      <w:r w:rsidR="00113930" w:rsidRPr="00C83A8E">
        <w:rPr>
          <w:i/>
          <w:sz w:val="16"/>
          <w:szCs w:val="16"/>
          <w:lang w:val="en-GB"/>
        </w:rPr>
        <w:t>LNG</w:t>
      </w:r>
    </w:p>
    <w:p w:rsidR="00DF692D" w:rsidRDefault="00DF692D" w:rsidP="00DF692D">
      <w:pPr>
        <w:spacing w:after="120" w:line="252" w:lineRule="auto"/>
        <w:jc w:val="both"/>
        <w:rPr>
          <w:i/>
          <w:color w:val="215A99"/>
          <w:sz w:val="16"/>
          <w:szCs w:val="16"/>
          <w:lang w:val="en-GB"/>
        </w:rPr>
      </w:pPr>
    </w:p>
    <w:p w:rsidR="00DF692D" w:rsidRDefault="00DF692D" w:rsidP="00DF692D">
      <w:pPr>
        <w:spacing w:after="120" w:line="252" w:lineRule="auto"/>
        <w:jc w:val="both"/>
        <w:rPr>
          <w:i/>
          <w:color w:val="215A99"/>
          <w:sz w:val="16"/>
          <w:szCs w:val="16"/>
          <w:lang w:val="en-GB"/>
        </w:rPr>
      </w:pPr>
    </w:p>
    <w:p w:rsidR="00DF692D" w:rsidRDefault="00DF692D" w:rsidP="00DF692D">
      <w:pPr>
        <w:spacing w:after="120" w:line="252" w:lineRule="auto"/>
        <w:jc w:val="both"/>
        <w:rPr>
          <w:i/>
          <w:color w:val="215A99"/>
          <w:sz w:val="16"/>
          <w:szCs w:val="16"/>
          <w:lang w:val="en-GB"/>
        </w:rPr>
      </w:pPr>
    </w:p>
    <w:p w:rsidR="00DF692D" w:rsidRDefault="00DF692D" w:rsidP="00DF692D">
      <w:pPr>
        <w:spacing w:after="120" w:line="252" w:lineRule="auto"/>
        <w:jc w:val="both"/>
        <w:rPr>
          <w:i/>
          <w:color w:val="215A99"/>
          <w:sz w:val="16"/>
          <w:szCs w:val="16"/>
          <w:lang w:val="en-GB"/>
        </w:rPr>
      </w:pPr>
    </w:p>
    <w:p w:rsidR="00DF692D" w:rsidRDefault="00DF692D" w:rsidP="00DF692D">
      <w:pPr>
        <w:spacing w:after="120" w:line="252" w:lineRule="auto"/>
        <w:jc w:val="both"/>
        <w:rPr>
          <w:i/>
          <w:color w:val="215A99"/>
          <w:sz w:val="16"/>
          <w:szCs w:val="16"/>
          <w:lang w:val="en-GB"/>
        </w:rPr>
      </w:pPr>
    </w:p>
    <w:p w:rsidR="00DF692D" w:rsidRDefault="00DF692D" w:rsidP="00DF692D">
      <w:pPr>
        <w:spacing w:after="120" w:line="252" w:lineRule="auto"/>
        <w:jc w:val="both"/>
        <w:rPr>
          <w:i/>
          <w:color w:val="215A99"/>
          <w:sz w:val="16"/>
          <w:szCs w:val="16"/>
          <w:lang w:val="en-GB"/>
        </w:rPr>
      </w:pPr>
    </w:p>
    <w:p w:rsidR="00DF692D" w:rsidRPr="00627EEA" w:rsidRDefault="00DF692D" w:rsidP="00627EEA">
      <w:pPr>
        <w:pStyle w:val="Titre1"/>
      </w:pPr>
      <w:bookmarkStart w:id="52" w:name="_Toc360628273"/>
      <w:r w:rsidRPr="00627EEA">
        <w:lastRenderedPageBreak/>
        <w:t>APPENDIX III: Table of Recently Commissioned LNG Receiving Terminals</w:t>
      </w:r>
      <w:bookmarkEnd w:id="52"/>
    </w:p>
    <w:tbl>
      <w:tblPr>
        <w:tblStyle w:val="Grillemoyenne3-Accent3"/>
        <w:tblW w:w="10142" w:type="dxa"/>
        <w:tblLook w:val="0420"/>
      </w:tblPr>
      <w:tblGrid>
        <w:gridCol w:w="1079"/>
        <w:gridCol w:w="3349"/>
        <w:gridCol w:w="763"/>
        <w:gridCol w:w="1026"/>
        <w:gridCol w:w="2981"/>
        <w:gridCol w:w="944"/>
      </w:tblGrid>
      <w:tr w:rsidR="00DF692D" w:rsidRPr="0071442C" w:rsidTr="009E2AB2">
        <w:trPr>
          <w:cnfStyle w:val="100000000000"/>
          <w:trHeight w:val="300"/>
        </w:trPr>
        <w:tc>
          <w:tcPr>
            <w:tcW w:w="1079" w:type="dxa"/>
            <w:noWrap/>
            <w:vAlign w:val="center"/>
            <w:hideMark/>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Country</w:t>
            </w:r>
          </w:p>
        </w:tc>
        <w:tc>
          <w:tcPr>
            <w:tcW w:w="3349" w:type="dxa"/>
            <w:noWrap/>
            <w:vAlign w:val="center"/>
            <w:hideMark/>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Terminal or Phase Name</w:t>
            </w:r>
          </w:p>
        </w:tc>
        <w:tc>
          <w:tcPr>
            <w:tcW w:w="763" w:type="dxa"/>
            <w:vAlign w:val="center"/>
          </w:tcPr>
          <w:p w:rsidR="00DF692D" w:rsidRPr="0071442C" w:rsidRDefault="00DF692D" w:rsidP="009E2AB2">
            <w:pPr>
              <w:widowControl/>
              <w:rPr>
                <w:rFonts w:eastAsia="Times New Roman" w:cs="Arial"/>
                <w:sz w:val="16"/>
                <w:szCs w:val="16"/>
                <w:lang w:eastAsia="en-US"/>
              </w:rPr>
            </w:pPr>
            <w:r w:rsidRPr="0071442C">
              <w:rPr>
                <w:rFonts w:eastAsia="Times New Roman" w:cs="Arial"/>
                <w:sz w:val="16"/>
                <w:szCs w:val="16"/>
                <w:lang w:eastAsia="en-US"/>
              </w:rPr>
              <w:t>Start Year</w:t>
            </w:r>
          </w:p>
        </w:tc>
        <w:tc>
          <w:tcPr>
            <w:tcW w:w="1026" w:type="dxa"/>
            <w:noWrap/>
            <w:vAlign w:val="center"/>
            <w:hideMark/>
          </w:tcPr>
          <w:p w:rsidR="00DF692D" w:rsidRPr="0071442C" w:rsidRDefault="00DF692D" w:rsidP="009E2AB2">
            <w:pPr>
              <w:widowControl/>
              <w:jc w:val="center"/>
              <w:rPr>
                <w:rFonts w:eastAsia="Times New Roman" w:cs="Arial"/>
                <w:sz w:val="16"/>
                <w:szCs w:val="16"/>
                <w:lang w:eastAsia="en-US"/>
              </w:rPr>
            </w:pPr>
            <w:r>
              <w:rPr>
                <w:rFonts w:eastAsia="Times New Roman" w:cs="Arial"/>
                <w:sz w:val="16"/>
                <w:szCs w:val="16"/>
                <w:lang w:eastAsia="en-US"/>
              </w:rPr>
              <w:t>Nameplate Receiving Capacity (MTPA)</w:t>
            </w:r>
          </w:p>
        </w:tc>
        <w:tc>
          <w:tcPr>
            <w:tcW w:w="2981" w:type="dxa"/>
            <w:vAlign w:val="center"/>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Owners*</w:t>
            </w:r>
          </w:p>
        </w:tc>
        <w:tc>
          <w:tcPr>
            <w:tcW w:w="944" w:type="dxa"/>
            <w:vAlign w:val="center"/>
          </w:tcPr>
          <w:p w:rsidR="00DF692D" w:rsidRDefault="00DF692D" w:rsidP="009E2AB2">
            <w:pPr>
              <w:widowControl/>
              <w:rPr>
                <w:rFonts w:eastAsia="Times New Roman" w:cs="Arial"/>
                <w:sz w:val="16"/>
                <w:szCs w:val="16"/>
                <w:lang w:eastAsia="en-US"/>
              </w:rPr>
            </w:pPr>
            <w:r>
              <w:rPr>
                <w:rFonts w:eastAsia="Times New Roman" w:cs="Arial"/>
                <w:sz w:val="16"/>
                <w:szCs w:val="16"/>
                <w:lang w:eastAsia="en-US"/>
              </w:rPr>
              <w:t>Concept</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Belgium</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Zeebrugge</w:t>
            </w:r>
            <w:proofErr w:type="spellEnd"/>
            <w:r w:rsidRPr="0071442C">
              <w:rPr>
                <w:rFonts w:eastAsia="Times New Roman" w:cs="Arial"/>
                <w:color w:val="141313"/>
                <w:sz w:val="16"/>
                <w:szCs w:val="16"/>
                <w:lang w:eastAsia="en-US"/>
              </w:rPr>
              <w:t xml:space="preserve">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sz w:val="16"/>
                <w:szCs w:val="16"/>
                <w:lang w:eastAsia="en-US"/>
              </w:rPr>
            </w:pPr>
            <w:r w:rsidRPr="0071442C">
              <w:rPr>
                <w:rFonts w:eastAsia="Times New Roman" w:cs="Arial"/>
                <w:sz w:val="16"/>
                <w:szCs w:val="16"/>
                <w:lang w:eastAsia="en-US"/>
              </w:rPr>
              <w:t>3.3</w:t>
            </w:r>
          </w:p>
        </w:tc>
        <w:tc>
          <w:tcPr>
            <w:tcW w:w="2981" w:type="dxa"/>
            <w:vAlign w:val="center"/>
          </w:tcPr>
          <w:p w:rsidR="00DF692D" w:rsidRDefault="00DF692D" w:rsidP="00901311">
            <w:pPr>
              <w:rPr>
                <w:rFonts w:cs="Arial"/>
                <w:color w:val="141313"/>
                <w:sz w:val="16"/>
                <w:szCs w:val="16"/>
              </w:rPr>
            </w:pPr>
            <w:proofErr w:type="spellStart"/>
            <w:r>
              <w:rPr>
                <w:rFonts w:cs="Arial"/>
                <w:color w:val="141313"/>
                <w:sz w:val="16"/>
                <w:szCs w:val="16"/>
                <w:lang w:val="en-GB"/>
              </w:rPr>
              <w:t>Fluxys</w:t>
            </w:r>
            <w:proofErr w:type="spellEnd"/>
          </w:p>
        </w:tc>
        <w:tc>
          <w:tcPr>
            <w:tcW w:w="944" w:type="dxa"/>
            <w:vAlign w:val="center"/>
          </w:tcPr>
          <w:p w:rsidR="00DF692D" w:rsidRPr="004460F3" w:rsidRDefault="00DF692D" w:rsidP="009E2AB2">
            <w:pPr>
              <w:jc w:val="center"/>
              <w:rPr>
                <w:rFonts w:cs="Arial"/>
                <w:iCs/>
                <w:color w:val="141313"/>
                <w:sz w:val="16"/>
                <w:szCs w:val="16"/>
              </w:rPr>
            </w:pPr>
            <w:r w:rsidRPr="004460F3">
              <w:rPr>
                <w:rFonts w:cs="Arial"/>
                <w:iCs/>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Fujian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2.6</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CNOOC, Fujian Investment &amp; Development Co.</w:t>
            </w:r>
          </w:p>
        </w:tc>
        <w:tc>
          <w:tcPr>
            <w:tcW w:w="944" w:type="dxa"/>
            <w:vAlign w:val="center"/>
          </w:tcPr>
          <w:p w:rsidR="00DF692D" w:rsidRPr="004460F3" w:rsidRDefault="00DF692D" w:rsidP="009E2AB2">
            <w:pPr>
              <w:jc w:val="center"/>
              <w:rPr>
                <w:rFonts w:cs="Arial"/>
                <w:color w:val="141313"/>
                <w:sz w:val="16"/>
                <w:szCs w:val="16"/>
              </w:rPr>
            </w:pPr>
            <w:r w:rsidRPr="004460F3">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sz w:val="16"/>
                <w:szCs w:val="16"/>
                <w:lang w:eastAsia="en-US"/>
              </w:rPr>
            </w:pPr>
            <w:r w:rsidRPr="0071442C">
              <w:rPr>
                <w:rFonts w:eastAsia="Times New Roman" w:cs="Arial"/>
                <w:sz w:val="16"/>
                <w:szCs w:val="16"/>
                <w:lang w:eastAsia="en-US"/>
              </w:rPr>
              <w:t>China</w:t>
            </w:r>
          </w:p>
        </w:tc>
        <w:tc>
          <w:tcPr>
            <w:tcW w:w="3349" w:type="dxa"/>
            <w:noWrap/>
            <w:vAlign w:val="center"/>
            <w:hideMark/>
          </w:tcPr>
          <w:p w:rsidR="00DF692D" w:rsidRPr="0071442C" w:rsidRDefault="00DF692D" w:rsidP="009E2AB2">
            <w:pPr>
              <w:widowControl/>
              <w:rPr>
                <w:rFonts w:eastAsia="Times New Roman" w:cs="Arial"/>
                <w:sz w:val="16"/>
                <w:szCs w:val="16"/>
                <w:lang w:eastAsia="en-US"/>
              </w:rPr>
            </w:pPr>
            <w:proofErr w:type="spellStart"/>
            <w:r w:rsidRPr="0071442C">
              <w:rPr>
                <w:rFonts w:eastAsia="Times New Roman" w:cs="Arial"/>
                <w:sz w:val="16"/>
                <w:szCs w:val="16"/>
                <w:lang w:eastAsia="en-US"/>
              </w:rPr>
              <w:t>Mengtougou</w:t>
            </w:r>
            <w:proofErr w:type="spellEnd"/>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sz w:val="16"/>
                <w:szCs w:val="16"/>
                <w:lang w:eastAsia="en-US"/>
              </w:rPr>
            </w:pPr>
            <w:r w:rsidRPr="0071442C">
              <w:rPr>
                <w:rFonts w:eastAsia="Times New Roman" w:cs="Arial"/>
                <w:sz w:val="16"/>
                <w:szCs w:val="16"/>
                <w:lang w:eastAsia="en-US"/>
              </w:rPr>
              <w:t>0.1</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Shanghai Gas Group</w:t>
            </w:r>
          </w:p>
        </w:tc>
        <w:tc>
          <w:tcPr>
            <w:tcW w:w="944" w:type="dxa"/>
            <w:vAlign w:val="center"/>
          </w:tcPr>
          <w:p w:rsidR="00DF692D" w:rsidRPr="004460F3" w:rsidRDefault="00DF692D" w:rsidP="009E2AB2">
            <w:pPr>
              <w:jc w:val="center"/>
              <w:rPr>
                <w:rFonts w:cs="Arial"/>
                <w:color w:val="141313"/>
                <w:sz w:val="16"/>
                <w:szCs w:val="16"/>
              </w:rPr>
            </w:pPr>
            <w:r w:rsidRPr="004460F3">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India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Hazira LNG (Debottleneck)</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1.1</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Shell, TOTAL</w:t>
            </w:r>
          </w:p>
        </w:tc>
        <w:tc>
          <w:tcPr>
            <w:tcW w:w="944" w:type="dxa"/>
            <w:vAlign w:val="center"/>
          </w:tcPr>
          <w:p w:rsidR="00DF692D" w:rsidRPr="004460F3" w:rsidRDefault="00DF692D" w:rsidP="009E2AB2">
            <w:pPr>
              <w:jc w:val="center"/>
              <w:rPr>
                <w:rFonts w:cs="Arial"/>
                <w:color w:val="141313"/>
                <w:sz w:val="16"/>
                <w:szCs w:val="16"/>
              </w:rPr>
            </w:pPr>
            <w:r w:rsidRPr="004460F3">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Japan</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Sodegaura</w:t>
            </w:r>
            <w:proofErr w:type="spellEnd"/>
            <w:r w:rsidRPr="0071442C">
              <w:rPr>
                <w:rFonts w:eastAsia="Times New Roman" w:cs="Arial"/>
                <w:color w:val="141313"/>
                <w:sz w:val="16"/>
                <w:szCs w:val="16"/>
                <w:lang w:eastAsia="en-US"/>
              </w:rPr>
              <w:t xml:space="preserve">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1.6</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TEPCO, Tokyo Gas</w:t>
            </w:r>
          </w:p>
        </w:tc>
        <w:tc>
          <w:tcPr>
            <w:tcW w:w="944" w:type="dxa"/>
            <w:vAlign w:val="center"/>
          </w:tcPr>
          <w:p w:rsidR="00DF692D" w:rsidRPr="004460F3" w:rsidRDefault="00DF692D" w:rsidP="009E2AB2">
            <w:pPr>
              <w:jc w:val="center"/>
              <w:rPr>
                <w:rFonts w:cs="Arial"/>
                <w:color w:val="141313"/>
                <w:sz w:val="16"/>
                <w:szCs w:val="16"/>
              </w:rPr>
            </w:pPr>
            <w:r w:rsidRPr="004460F3">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Mexico</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 xml:space="preserve">Costa </w:t>
            </w:r>
            <w:proofErr w:type="spellStart"/>
            <w:r w:rsidRPr="0071442C">
              <w:rPr>
                <w:rFonts w:eastAsia="Times New Roman" w:cs="Arial"/>
                <w:color w:val="141313"/>
                <w:sz w:val="16"/>
                <w:szCs w:val="16"/>
                <w:lang w:eastAsia="en-US"/>
              </w:rPr>
              <w:t>Azul</w:t>
            </w:r>
            <w:proofErr w:type="spellEnd"/>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7.5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Sempra</w:t>
            </w:r>
          </w:p>
        </w:tc>
        <w:tc>
          <w:tcPr>
            <w:tcW w:w="944" w:type="dxa"/>
            <w:vAlign w:val="center"/>
          </w:tcPr>
          <w:p w:rsidR="00DF692D" w:rsidRPr="004460F3" w:rsidRDefault="00DF692D" w:rsidP="009E2AB2">
            <w:pPr>
              <w:jc w:val="center"/>
              <w:rPr>
                <w:rFonts w:cs="Arial"/>
                <w:color w:val="141313"/>
                <w:sz w:val="16"/>
                <w:szCs w:val="16"/>
              </w:rPr>
            </w:pPr>
            <w:r w:rsidRPr="004460F3">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UK</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Grain LNG (Phase 2)</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6.5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National Grid Transco</w:t>
            </w:r>
          </w:p>
        </w:tc>
        <w:tc>
          <w:tcPr>
            <w:tcW w:w="944" w:type="dxa"/>
            <w:vAlign w:val="center"/>
          </w:tcPr>
          <w:p w:rsidR="00DF692D" w:rsidRPr="004460F3" w:rsidRDefault="00DF692D" w:rsidP="009E2AB2">
            <w:pPr>
              <w:jc w:val="center"/>
              <w:rPr>
                <w:rFonts w:cs="Arial"/>
                <w:iCs/>
                <w:color w:val="141313"/>
                <w:sz w:val="16"/>
                <w:szCs w:val="16"/>
              </w:rPr>
            </w:pPr>
            <w:r w:rsidRPr="004460F3">
              <w:rPr>
                <w:rFonts w:cs="Arial"/>
                <w:iCs/>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Freeport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11.3</w:t>
            </w:r>
          </w:p>
        </w:tc>
        <w:tc>
          <w:tcPr>
            <w:tcW w:w="2981" w:type="dxa"/>
            <w:vAlign w:val="center"/>
          </w:tcPr>
          <w:p w:rsidR="00DF692D" w:rsidRDefault="00DF692D" w:rsidP="00901311">
            <w:pPr>
              <w:rPr>
                <w:rFonts w:cs="Arial"/>
                <w:color w:val="141313"/>
                <w:sz w:val="16"/>
                <w:szCs w:val="16"/>
              </w:rPr>
            </w:pPr>
            <w:r w:rsidRPr="002F7E46">
              <w:rPr>
                <w:rFonts w:cs="Arial"/>
                <w:color w:val="141313"/>
                <w:sz w:val="16"/>
                <w:szCs w:val="16"/>
                <w:lang w:val="en-GB"/>
              </w:rPr>
              <w:t>Freeport LNG</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Northeast Gateway</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Excelerate Energy</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Sabine Pass</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2008</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19.6</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Cheniere Energy</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Brazil</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Pr>
                <w:rFonts w:eastAsia="Times New Roman" w:cs="Arial"/>
                <w:color w:val="141313"/>
                <w:sz w:val="16"/>
                <w:szCs w:val="16"/>
                <w:lang w:eastAsia="en-US"/>
              </w:rPr>
              <w:t>Pecem</w:t>
            </w:r>
            <w:proofErr w:type="spellEnd"/>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1.9</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Petrobras</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Canada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Canaport</w:t>
            </w:r>
            <w:proofErr w:type="spellEnd"/>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7.5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Repsol, Irving Oil</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Chile</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Quintero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2.5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s-ES"/>
              </w:rPr>
              <w:t xml:space="preserve">BG </w:t>
            </w:r>
            <w:proofErr w:type="spellStart"/>
            <w:r>
              <w:rPr>
                <w:rFonts w:cs="Arial"/>
                <w:color w:val="141313"/>
                <w:sz w:val="16"/>
                <w:szCs w:val="16"/>
                <w:lang w:val="es-ES"/>
              </w:rPr>
              <w:t>Group</w:t>
            </w:r>
            <w:proofErr w:type="spellEnd"/>
            <w:r>
              <w:rPr>
                <w:rFonts w:cs="Arial"/>
                <w:color w:val="141313"/>
                <w:sz w:val="16"/>
                <w:szCs w:val="16"/>
                <w:lang w:val="es-ES"/>
              </w:rPr>
              <w:t xml:space="preserve">, ENAP,ENAGAS, ENDESA, </w:t>
            </w:r>
            <w:proofErr w:type="spellStart"/>
            <w:r>
              <w:rPr>
                <w:rFonts w:cs="Arial"/>
                <w:color w:val="141313"/>
                <w:sz w:val="16"/>
                <w:szCs w:val="16"/>
                <w:lang w:val="es-ES"/>
              </w:rPr>
              <w:t>Metrogas</w:t>
            </w:r>
            <w:proofErr w:type="spellEnd"/>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Dapeng</w:t>
            </w:r>
            <w:proofErr w:type="spellEnd"/>
            <w:r w:rsidRPr="0071442C">
              <w:rPr>
                <w:rFonts w:eastAsia="Times New Roman" w:cs="Arial"/>
                <w:color w:val="141313"/>
                <w:sz w:val="16"/>
                <w:szCs w:val="16"/>
                <w:lang w:eastAsia="en-US"/>
              </w:rPr>
              <w:t xml:space="preserve"> LNG (Guangdong,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CNOOC, BP, Local Companies</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Shanghai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w:t>
            </w:r>
          </w:p>
        </w:tc>
        <w:tc>
          <w:tcPr>
            <w:tcW w:w="2981" w:type="dxa"/>
            <w:vAlign w:val="center"/>
          </w:tcPr>
          <w:p w:rsidR="00DF692D" w:rsidRDefault="00DF692D" w:rsidP="00901311">
            <w:pPr>
              <w:rPr>
                <w:rFonts w:cs="Arial"/>
                <w:color w:val="141313"/>
                <w:sz w:val="16"/>
                <w:szCs w:val="16"/>
              </w:rPr>
            </w:pPr>
            <w:proofErr w:type="spellStart"/>
            <w:r>
              <w:rPr>
                <w:rFonts w:cs="Arial"/>
                <w:color w:val="141313"/>
                <w:sz w:val="16"/>
                <w:szCs w:val="16"/>
                <w:lang w:val="en-GB"/>
              </w:rPr>
              <w:t>Shenergy</w:t>
            </w:r>
            <w:proofErr w:type="spellEnd"/>
            <w:r>
              <w:rPr>
                <w:rFonts w:cs="Arial"/>
                <w:color w:val="141313"/>
                <w:sz w:val="16"/>
                <w:szCs w:val="16"/>
                <w:lang w:val="en-GB"/>
              </w:rPr>
              <w:t xml:space="preserve"> Group, CNOOC</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India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Dahej LNG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Petronet LNG</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sz w:val="16"/>
                <w:szCs w:val="16"/>
                <w:lang w:eastAsia="en-US"/>
              </w:rPr>
            </w:pPr>
            <w:r w:rsidRPr="0071442C">
              <w:rPr>
                <w:rFonts w:eastAsia="Times New Roman" w:cs="Arial"/>
                <w:sz w:val="16"/>
                <w:szCs w:val="16"/>
                <w:lang w:eastAsia="en-US"/>
              </w:rPr>
              <w:t>Italy</w:t>
            </w:r>
          </w:p>
        </w:tc>
        <w:tc>
          <w:tcPr>
            <w:tcW w:w="3349" w:type="dxa"/>
            <w:noWrap/>
            <w:vAlign w:val="center"/>
            <w:hideMark/>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Adriatic LNG/Rovigo</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sz w:val="16"/>
                <w:szCs w:val="16"/>
                <w:lang w:eastAsia="en-US"/>
              </w:rPr>
            </w:pPr>
            <w:r w:rsidRPr="0071442C">
              <w:rPr>
                <w:rFonts w:eastAsia="Times New Roman" w:cs="Arial"/>
                <w:sz w:val="16"/>
                <w:szCs w:val="16"/>
                <w:lang w:eastAsia="en-US"/>
              </w:rPr>
              <w:t>5.8</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ExxonMobil, Qatar Petroleum, Edison</w:t>
            </w:r>
          </w:p>
        </w:tc>
        <w:tc>
          <w:tcPr>
            <w:tcW w:w="944" w:type="dxa"/>
            <w:vAlign w:val="center"/>
          </w:tcPr>
          <w:p w:rsidR="00DF692D" w:rsidRDefault="00DF692D" w:rsidP="009E2AB2">
            <w:pPr>
              <w:jc w:val="center"/>
            </w:pPr>
            <w:r>
              <w:rPr>
                <w:rFonts w:cs="Arial"/>
                <w:color w:val="141313"/>
                <w:sz w:val="16"/>
                <w:szCs w:val="16"/>
                <w:lang w:val="en-GB"/>
              </w:rPr>
              <w:t>Offshore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Kuwait</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Mina Al-</w:t>
            </w:r>
            <w:proofErr w:type="spellStart"/>
            <w:r>
              <w:rPr>
                <w:rFonts w:eastAsia="Times New Roman" w:cs="Arial"/>
                <w:color w:val="141313"/>
                <w:sz w:val="16"/>
                <w:szCs w:val="16"/>
                <w:lang w:eastAsia="en-US"/>
              </w:rPr>
              <w:t>Ahmadi</w:t>
            </w:r>
            <w:proofErr w:type="spellEnd"/>
            <w:r>
              <w:rPr>
                <w:rFonts w:eastAsia="Times New Roman" w:cs="Arial"/>
                <w:color w:val="141313"/>
                <w:sz w:val="16"/>
                <w:szCs w:val="16"/>
                <w:lang w:eastAsia="en-US"/>
              </w:rPr>
              <w:t xml:space="preserve"> </w:t>
            </w:r>
            <w:proofErr w:type="spellStart"/>
            <w:r>
              <w:rPr>
                <w:rFonts w:eastAsia="Times New Roman" w:cs="Arial"/>
                <w:color w:val="141313"/>
                <w:sz w:val="16"/>
                <w:szCs w:val="16"/>
                <w:lang w:eastAsia="en-US"/>
              </w:rPr>
              <w:t>GasPort</w:t>
            </w:r>
            <w:proofErr w:type="spellEnd"/>
            <w:r>
              <w:rPr>
                <w:rFonts w:eastAsia="Times New Roman" w:cs="Arial"/>
                <w:color w:val="141313"/>
                <w:sz w:val="16"/>
                <w:szCs w:val="16"/>
                <w:lang w:eastAsia="en-US"/>
              </w:rPr>
              <w:t xml:space="preserve"> </w:t>
            </w:r>
            <w:proofErr w:type="spellStart"/>
            <w:r w:rsidRPr="0071442C">
              <w:rPr>
                <w:rFonts w:eastAsia="Times New Roman" w:cs="Arial"/>
                <w:color w:val="141313"/>
                <w:sz w:val="16"/>
                <w:szCs w:val="16"/>
                <w:lang w:eastAsia="en-US"/>
              </w:rPr>
              <w:t>Excelerate</w:t>
            </w:r>
            <w:proofErr w:type="spellEnd"/>
            <w:r w:rsidRPr="0071442C">
              <w:rPr>
                <w:rFonts w:eastAsia="Times New Roman" w:cs="Arial"/>
                <w:color w:val="141313"/>
                <w:sz w:val="16"/>
                <w:szCs w:val="16"/>
                <w:lang w:eastAsia="en-US"/>
              </w:rPr>
              <w:t xml:space="preserve"> Energy FSRU Contract</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3.8</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Kuwait Petroleum Corporation</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Spain</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Saggas</w:t>
            </w:r>
            <w:proofErr w:type="spellEnd"/>
            <w:r w:rsidRPr="0071442C">
              <w:rPr>
                <w:rFonts w:eastAsia="Times New Roman" w:cs="Arial"/>
                <w:color w:val="141313"/>
                <w:sz w:val="16"/>
                <w:szCs w:val="16"/>
                <w:lang w:eastAsia="en-US"/>
              </w:rPr>
              <w:t xml:space="preserve"> (Expansion 2)</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1.2</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 xml:space="preserve">RREEF Infrastructure, </w:t>
            </w:r>
            <w:proofErr w:type="spellStart"/>
            <w:r>
              <w:rPr>
                <w:rFonts w:cs="Arial"/>
                <w:color w:val="141313"/>
                <w:sz w:val="16"/>
                <w:szCs w:val="16"/>
                <w:lang w:val="en-GB"/>
              </w:rPr>
              <w:t>Eni</w:t>
            </w:r>
            <w:proofErr w:type="spellEnd"/>
            <w:r>
              <w:rPr>
                <w:rFonts w:cs="Arial"/>
                <w:color w:val="141313"/>
                <w:sz w:val="16"/>
                <w:szCs w:val="16"/>
                <w:lang w:val="en-GB"/>
              </w:rPr>
              <w:t xml:space="preserve">, Gas Natural </w:t>
            </w:r>
            <w:proofErr w:type="spellStart"/>
            <w:r>
              <w:rPr>
                <w:rFonts w:cs="Arial"/>
                <w:color w:val="141313"/>
                <w:sz w:val="16"/>
                <w:szCs w:val="16"/>
                <w:lang w:val="en-GB"/>
              </w:rPr>
              <w:t>Fenosa</w:t>
            </w:r>
            <w:proofErr w:type="spellEnd"/>
            <w:r>
              <w:rPr>
                <w:rFonts w:cs="Arial"/>
                <w:color w:val="141313"/>
                <w:sz w:val="16"/>
                <w:szCs w:val="16"/>
                <w:lang w:val="en-GB"/>
              </w:rPr>
              <w:t xml:space="preserve">, Osaka Gas, Oman Oil </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Taiwan</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Taichung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CPC</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UK</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Dragon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4.4</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BG Group, PETRONAS, 4Gas</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UK</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South Hook (Phase 1)</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7.8</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Qatar Petroleum, ExxonMobil, TOTAL</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Cameron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11.3</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Sempra</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Cove Point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5.5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Dominion Cove Point LNG</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Sabine Pass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2009</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10.6</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Cheniere Energy</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Chile</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Mejillones</w:t>
            </w:r>
            <w:proofErr w:type="spellEnd"/>
            <w:r w:rsidRPr="0071442C">
              <w:rPr>
                <w:rFonts w:eastAsia="Times New Roman" w:cs="Arial"/>
                <w:color w:val="141313"/>
                <w:sz w:val="16"/>
                <w:szCs w:val="16"/>
                <w:lang w:eastAsia="en-US"/>
              </w:rPr>
              <w:t xml:space="preserve"> LNG (Phase 1)</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1.5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 xml:space="preserve">GDF SUEZ, </w:t>
            </w:r>
            <w:proofErr w:type="spellStart"/>
            <w:r>
              <w:rPr>
                <w:rFonts w:cs="Arial"/>
                <w:color w:val="141313"/>
                <w:sz w:val="16"/>
                <w:szCs w:val="16"/>
                <w:lang w:val="en-GB"/>
              </w:rPr>
              <w:t>Codelco</w:t>
            </w:r>
            <w:proofErr w:type="spellEnd"/>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France</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FosMax</w:t>
            </w:r>
            <w:proofErr w:type="spellEnd"/>
            <w:r w:rsidRPr="0071442C">
              <w:rPr>
                <w:rFonts w:eastAsia="Times New Roman" w:cs="Arial"/>
                <w:color w:val="141313"/>
                <w:sz w:val="16"/>
                <w:szCs w:val="16"/>
                <w:lang w:eastAsia="en-US"/>
              </w:rPr>
              <w:t xml:space="preserve"> LNG (</w:t>
            </w:r>
            <w:proofErr w:type="spellStart"/>
            <w:r w:rsidRPr="0071442C">
              <w:rPr>
                <w:rFonts w:eastAsia="Times New Roman" w:cs="Arial"/>
                <w:color w:val="141313"/>
                <w:sz w:val="16"/>
                <w:szCs w:val="16"/>
                <w:lang w:eastAsia="en-US"/>
              </w:rPr>
              <w:t>Fos</w:t>
            </w:r>
            <w:proofErr w:type="spellEnd"/>
            <w:r w:rsidRPr="0071442C">
              <w:rPr>
                <w:rFonts w:eastAsia="Times New Roman" w:cs="Arial"/>
                <w:color w:val="141313"/>
                <w:sz w:val="16"/>
                <w:szCs w:val="16"/>
                <w:lang w:eastAsia="en-US"/>
              </w:rPr>
              <w:t xml:space="preserve"> </w:t>
            </w:r>
            <w:proofErr w:type="spellStart"/>
            <w:r w:rsidRPr="0071442C">
              <w:rPr>
                <w:rFonts w:eastAsia="Times New Roman" w:cs="Arial"/>
                <w:color w:val="141313"/>
                <w:sz w:val="16"/>
                <w:szCs w:val="16"/>
                <w:lang w:eastAsia="en-US"/>
              </w:rPr>
              <w:t>Cavaou</w:t>
            </w:r>
            <w:proofErr w:type="spellEnd"/>
            <w:r w:rsidRPr="0071442C">
              <w:rPr>
                <w:rFonts w:eastAsia="Times New Roman" w:cs="Arial"/>
                <w:color w:val="141313"/>
                <w:sz w:val="16"/>
                <w:szCs w:val="16"/>
                <w:lang w:eastAsia="en-US"/>
              </w:rPr>
              <w:t>)</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6</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GDF SUEZ, TOTAL</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sz w:val="16"/>
                <w:szCs w:val="16"/>
                <w:lang w:eastAsia="en-US"/>
              </w:rPr>
            </w:pPr>
            <w:r w:rsidRPr="0071442C">
              <w:rPr>
                <w:rFonts w:eastAsia="Times New Roman" w:cs="Arial"/>
                <w:sz w:val="16"/>
                <w:szCs w:val="16"/>
                <w:lang w:eastAsia="en-US"/>
              </w:rPr>
              <w:t>Japan</w:t>
            </w:r>
          </w:p>
        </w:tc>
        <w:tc>
          <w:tcPr>
            <w:tcW w:w="3349" w:type="dxa"/>
            <w:noWrap/>
            <w:vAlign w:val="center"/>
            <w:hideMark/>
          </w:tcPr>
          <w:p w:rsidR="00DF692D" w:rsidRPr="0071442C" w:rsidRDefault="00DF692D" w:rsidP="009E2AB2">
            <w:pPr>
              <w:widowControl/>
              <w:rPr>
                <w:rFonts w:eastAsia="Times New Roman" w:cs="Arial"/>
                <w:sz w:val="16"/>
                <w:szCs w:val="16"/>
                <w:lang w:eastAsia="en-US"/>
              </w:rPr>
            </w:pPr>
            <w:proofErr w:type="spellStart"/>
            <w:r w:rsidRPr="0071442C">
              <w:rPr>
                <w:rFonts w:eastAsia="Times New Roman" w:cs="Arial"/>
                <w:sz w:val="16"/>
                <w:szCs w:val="16"/>
                <w:lang w:eastAsia="en-US"/>
              </w:rPr>
              <w:t>Sakaide</w:t>
            </w:r>
            <w:proofErr w:type="spellEnd"/>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sz w:val="16"/>
                <w:szCs w:val="16"/>
                <w:lang w:eastAsia="en-US"/>
              </w:rPr>
            </w:pPr>
            <w:r w:rsidRPr="0071442C">
              <w:rPr>
                <w:rFonts w:eastAsia="Times New Roman" w:cs="Arial"/>
                <w:sz w:val="16"/>
                <w:szCs w:val="16"/>
                <w:lang w:eastAsia="en-US"/>
              </w:rPr>
              <w:t>0.7</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Shikoku Electric, Cosmo Gas, Shikoku Gas</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Spain</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Barcelona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4.7</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ENAGAS</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UK</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Grain LNG (Phase 3)</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5.2</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National Grid Transco</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UK</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South Hook (Phase 2)</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7.8</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Qatar Petroleum, ExxonMobil, TOTAL</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United Arab Emirates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Dubai (OS)</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w:t>
            </w:r>
          </w:p>
        </w:tc>
        <w:tc>
          <w:tcPr>
            <w:tcW w:w="2981" w:type="dxa"/>
            <w:vAlign w:val="center"/>
          </w:tcPr>
          <w:p w:rsidR="00DF692D" w:rsidRPr="00AC6B95" w:rsidRDefault="00DF692D" w:rsidP="00901311">
            <w:pPr>
              <w:rPr>
                <w:rFonts w:cs="Arial"/>
                <w:color w:val="141313"/>
                <w:sz w:val="16"/>
                <w:szCs w:val="16"/>
              </w:rPr>
            </w:pPr>
            <w:r>
              <w:rPr>
                <w:rFonts w:cs="Arial"/>
                <w:color w:val="141313"/>
                <w:sz w:val="16"/>
                <w:szCs w:val="16"/>
                <w:lang w:val="en-GB"/>
              </w:rPr>
              <w:t>Dubai Supply Authority</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Elba Island III (Phase 1)</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Kinder Morgan</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Lake Charles (IEP)</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3.9</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 xml:space="preserve">Southern Union, AIG </w:t>
            </w:r>
            <w:proofErr w:type="spellStart"/>
            <w:r>
              <w:rPr>
                <w:rFonts w:cs="Arial"/>
                <w:color w:val="141313"/>
                <w:sz w:val="16"/>
                <w:szCs w:val="16"/>
                <w:lang w:val="en-GB"/>
              </w:rPr>
              <w:t>Highstar</w:t>
            </w:r>
            <w:proofErr w:type="spellEnd"/>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US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Neptune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2010</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GDF SUEZ</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Argentina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 xml:space="preserve">Bahia Blanca </w:t>
            </w:r>
            <w:proofErr w:type="spellStart"/>
            <w:r>
              <w:rPr>
                <w:rFonts w:eastAsia="Times New Roman" w:cs="Arial"/>
                <w:color w:val="141313"/>
                <w:sz w:val="16"/>
                <w:szCs w:val="16"/>
                <w:lang w:eastAsia="en-US"/>
              </w:rPr>
              <w:t>GasPort</w:t>
            </w:r>
            <w:proofErr w:type="spellEnd"/>
            <w:r>
              <w:rPr>
                <w:rFonts w:eastAsia="Times New Roman" w:cs="Arial"/>
                <w:color w:val="141313"/>
                <w:sz w:val="16"/>
                <w:szCs w:val="16"/>
                <w:lang w:eastAsia="en-US"/>
              </w:rPr>
              <w:t xml:space="preserve"> </w:t>
            </w:r>
            <w:r w:rsidRPr="0071442C">
              <w:rPr>
                <w:rFonts w:eastAsia="Times New Roman" w:cs="Arial"/>
                <w:color w:val="141313"/>
                <w:sz w:val="16"/>
                <w:szCs w:val="16"/>
                <w:lang w:eastAsia="en-US"/>
              </w:rPr>
              <w:t>(Expansion)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2011</w:t>
            </w:r>
          </w:p>
        </w:tc>
        <w:tc>
          <w:tcPr>
            <w:tcW w:w="1026" w:type="dxa"/>
            <w:noWrap/>
            <w:vAlign w:val="center"/>
            <w:hideMark/>
          </w:tcPr>
          <w:p w:rsidR="00DF692D" w:rsidRPr="0071442C" w:rsidRDefault="00DF692D" w:rsidP="009E2AB2">
            <w:pPr>
              <w:widowControl/>
              <w:jc w:val="center"/>
              <w:rPr>
                <w:rFonts w:eastAsia="Times New Roman" w:cs="Arial"/>
                <w:sz w:val="16"/>
                <w:szCs w:val="16"/>
                <w:lang w:eastAsia="en-US"/>
              </w:rPr>
            </w:pPr>
            <w:r w:rsidRPr="0071442C">
              <w:rPr>
                <w:rFonts w:eastAsia="Times New Roman" w:cs="Arial"/>
                <w:sz w:val="16"/>
                <w:szCs w:val="16"/>
                <w:lang w:eastAsia="en-US"/>
              </w:rPr>
              <w:t>3.8</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YPF</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Argentina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Puerto Escobar</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2011</w:t>
            </w:r>
          </w:p>
        </w:tc>
        <w:tc>
          <w:tcPr>
            <w:tcW w:w="1026" w:type="dxa"/>
            <w:noWrap/>
            <w:vAlign w:val="center"/>
            <w:hideMark/>
          </w:tcPr>
          <w:p w:rsidR="00DF692D" w:rsidRPr="0071442C" w:rsidRDefault="00DF692D" w:rsidP="009E2AB2">
            <w:pPr>
              <w:widowControl/>
              <w:jc w:val="center"/>
              <w:rPr>
                <w:rFonts w:eastAsia="Times New Roman" w:cs="Arial"/>
                <w:sz w:val="16"/>
                <w:szCs w:val="16"/>
                <w:lang w:eastAsia="en-US"/>
              </w:rPr>
            </w:pPr>
            <w:r w:rsidRPr="0071442C">
              <w:rPr>
                <w:rFonts w:eastAsia="Times New Roman" w:cs="Arial"/>
                <w:sz w:val="16"/>
                <w:szCs w:val="16"/>
                <w:lang w:eastAsia="en-US"/>
              </w:rPr>
              <w:t>3.8</w:t>
            </w:r>
          </w:p>
        </w:tc>
        <w:tc>
          <w:tcPr>
            <w:tcW w:w="2981" w:type="dxa"/>
            <w:vAlign w:val="center"/>
          </w:tcPr>
          <w:p w:rsidR="00DF692D" w:rsidRDefault="00DF692D" w:rsidP="00901311">
            <w:pPr>
              <w:rPr>
                <w:rFonts w:cs="Arial"/>
                <w:color w:val="141313"/>
                <w:sz w:val="16"/>
                <w:szCs w:val="16"/>
              </w:rPr>
            </w:pPr>
            <w:proofErr w:type="spellStart"/>
            <w:r>
              <w:rPr>
                <w:rFonts w:cs="Arial"/>
                <w:color w:val="141313"/>
                <w:sz w:val="16"/>
                <w:szCs w:val="16"/>
                <w:lang w:val="en-GB"/>
              </w:rPr>
              <w:t>Enarsa</w:t>
            </w:r>
            <w:proofErr w:type="spellEnd"/>
            <w:r>
              <w:rPr>
                <w:rFonts w:cs="Arial"/>
                <w:color w:val="141313"/>
                <w:sz w:val="16"/>
                <w:szCs w:val="16"/>
                <w:lang w:val="en-GB"/>
              </w:rPr>
              <w:t>, YPF</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Dalian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2011</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 xml:space="preserve">PetroChina, Dalian Port, Dalian Construction Investment Corp </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4460F3" w:rsidRDefault="00DF692D" w:rsidP="009E2AB2">
            <w:pPr>
              <w:widowControl/>
              <w:rPr>
                <w:rFonts w:eastAsia="Times New Roman" w:cs="Arial"/>
                <w:sz w:val="16"/>
                <w:szCs w:val="16"/>
                <w:lang w:eastAsia="en-US"/>
              </w:rPr>
            </w:pPr>
            <w:r w:rsidRPr="004460F3">
              <w:rPr>
                <w:rFonts w:eastAsia="Times New Roman" w:cs="Arial"/>
                <w:sz w:val="16"/>
                <w:szCs w:val="16"/>
                <w:lang w:eastAsia="en-US"/>
              </w:rPr>
              <w:t>China</w:t>
            </w:r>
          </w:p>
        </w:tc>
        <w:tc>
          <w:tcPr>
            <w:tcW w:w="3349" w:type="dxa"/>
            <w:noWrap/>
            <w:vAlign w:val="center"/>
            <w:hideMark/>
          </w:tcPr>
          <w:p w:rsidR="00DF692D" w:rsidRPr="004460F3" w:rsidRDefault="00DF692D" w:rsidP="009E2AB2">
            <w:pPr>
              <w:widowControl/>
              <w:rPr>
                <w:rFonts w:eastAsia="Times New Roman" w:cs="Arial"/>
                <w:sz w:val="16"/>
                <w:szCs w:val="16"/>
                <w:lang w:eastAsia="en-US"/>
              </w:rPr>
            </w:pPr>
            <w:r w:rsidRPr="004460F3">
              <w:rPr>
                <w:rFonts w:eastAsia="Times New Roman" w:cs="Arial"/>
                <w:sz w:val="16"/>
                <w:szCs w:val="16"/>
                <w:lang w:eastAsia="en-US"/>
              </w:rPr>
              <w:t>Fujian LNG (Storage Expansion)</w:t>
            </w:r>
          </w:p>
        </w:tc>
        <w:tc>
          <w:tcPr>
            <w:tcW w:w="763" w:type="dxa"/>
            <w:vAlign w:val="center"/>
          </w:tcPr>
          <w:p w:rsidR="00DF692D" w:rsidRPr="004460F3" w:rsidRDefault="00DF692D" w:rsidP="009E2AB2">
            <w:pPr>
              <w:widowControl/>
              <w:rPr>
                <w:rFonts w:eastAsia="Times New Roman" w:cs="Arial"/>
                <w:sz w:val="16"/>
                <w:szCs w:val="16"/>
                <w:lang w:eastAsia="en-US"/>
              </w:rPr>
            </w:pPr>
            <w:r w:rsidRPr="004460F3">
              <w:rPr>
                <w:rFonts w:eastAsia="Times New Roman" w:cs="Arial"/>
                <w:sz w:val="16"/>
                <w:szCs w:val="16"/>
                <w:lang w:eastAsia="en-US"/>
              </w:rPr>
              <w:t>2011</w:t>
            </w:r>
          </w:p>
        </w:tc>
        <w:tc>
          <w:tcPr>
            <w:tcW w:w="1026" w:type="dxa"/>
            <w:noWrap/>
            <w:vAlign w:val="center"/>
            <w:hideMark/>
          </w:tcPr>
          <w:p w:rsidR="00DF692D" w:rsidRPr="004460F3" w:rsidRDefault="00DF692D" w:rsidP="009E2AB2">
            <w:pPr>
              <w:widowControl/>
              <w:jc w:val="center"/>
              <w:rPr>
                <w:rFonts w:eastAsia="Times New Roman" w:cs="Arial"/>
                <w:sz w:val="16"/>
                <w:szCs w:val="16"/>
                <w:lang w:eastAsia="en-US"/>
              </w:rPr>
            </w:pPr>
            <w:r w:rsidRPr="004460F3">
              <w:rPr>
                <w:rFonts w:eastAsia="Times New Roman" w:cs="Arial"/>
                <w:sz w:val="16"/>
                <w:szCs w:val="16"/>
                <w:lang w:eastAsia="en-US"/>
              </w:rPr>
              <w:t>N/A</w:t>
            </w:r>
          </w:p>
        </w:tc>
        <w:tc>
          <w:tcPr>
            <w:tcW w:w="2981" w:type="dxa"/>
            <w:vAlign w:val="center"/>
          </w:tcPr>
          <w:p w:rsidR="00DF692D" w:rsidRPr="004460F3" w:rsidRDefault="00DF692D" w:rsidP="00901311">
            <w:pPr>
              <w:widowControl/>
              <w:rPr>
                <w:rFonts w:eastAsia="Times New Roman" w:cs="Arial"/>
                <w:sz w:val="16"/>
                <w:szCs w:val="16"/>
                <w:lang w:eastAsia="en-US"/>
              </w:rPr>
            </w:pPr>
            <w:r w:rsidRPr="004460F3">
              <w:rPr>
                <w:rFonts w:cs="Arial"/>
                <w:sz w:val="16"/>
                <w:szCs w:val="16"/>
                <w:lang w:val="en-GB"/>
              </w:rPr>
              <w:t>CNOOC, Fujian Investment &amp; Development Co.</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Rudong</w:t>
            </w:r>
            <w:proofErr w:type="spellEnd"/>
            <w:r w:rsidRPr="0071442C">
              <w:rPr>
                <w:rFonts w:eastAsia="Times New Roman" w:cs="Arial"/>
                <w:color w:val="141313"/>
                <w:sz w:val="16"/>
                <w:szCs w:val="16"/>
                <w:lang w:eastAsia="en-US"/>
              </w:rPr>
              <w:t>/Jiangsu LNG</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2011</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3.5</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 xml:space="preserve">PetroChina, Pacific Oil, Jiangsu </w:t>
            </w:r>
            <w:proofErr w:type="spellStart"/>
            <w:r>
              <w:rPr>
                <w:rFonts w:cs="Arial"/>
                <w:color w:val="141313"/>
                <w:sz w:val="16"/>
                <w:szCs w:val="16"/>
                <w:lang w:val="en-GB"/>
              </w:rPr>
              <w:t>Guoxin</w:t>
            </w:r>
            <w:proofErr w:type="spellEnd"/>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lastRenderedPageBreak/>
              <w:t>Japan</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Mizushima</w:t>
            </w:r>
            <w:proofErr w:type="spellEnd"/>
            <w:r w:rsidRPr="0071442C">
              <w:rPr>
                <w:rFonts w:eastAsia="Times New Roman" w:cs="Arial"/>
                <w:color w:val="141313"/>
                <w:sz w:val="16"/>
                <w:szCs w:val="16"/>
                <w:lang w:eastAsia="en-US"/>
              </w:rPr>
              <w:t xml:space="preserve"> LNG (Expansion)</w:t>
            </w:r>
          </w:p>
        </w:tc>
        <w:tc>
          <w:tcPr>
            <w:tcW w:w="763" w:type="dxa"/>
            <w:vAlign w:val="center"/>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2011</w:t>
            </w:r>
          </w:p>
        </w:tc>
        <w:tc>
          <w:tcPr>
            <w:tcW w:w="1026" w:type="dxa"/>
            <w:noWrap/>
            <w:vAlign w:val="center"/>
            <w:hideMark/>
          </w:tcPr>
          <w:p w:rsidR="00DF692D" w:rsidRPr="0071442C" w:rsidRDefault="00DF692D" w:rsidP="009E2AB2">
            <w:pPr>
              <w:widowControl/>
              <w:jc w:val="center"/>
              <w:rPr>
                <w:rFonts w:eastAsia="Times New Roman" w:cs="Arial"/>
                <w:color w:val="141313"/>
                <w:sz w:val="16"/>
                <w:szCs w:val="16"/>
                <w:lang w:eastAsia="en-US"/>
              </w:rPr>
            </w:pPr>
            <w:r w:rsidRPr="0071442C">
              <w:rPr>
                <w:rFonts w:eastAsia="Times New Roman" w:cs="Arial"/>
                <w:color w:val="141313"/>
                <w:sz w:val="16"/>
                <w:szCs w:val="16"/>
                <w:lang w:eastAsia="en-US"/>
              </w:rPr>
              <w:t>0.9</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Chugoku Electric, JX Nippon Oil &amp; Energy</w:t>
            </w:r>
          </w:p>
        </w:tc>
        <w:tc>
          <w:tcPr>
            <w:tcW w:w="944" w:type="dxa"/>
            <w:vAlign w:val="center"/>
          </w:tcPr>
          <w:p w:rsidR="00DF692D" w:rsidRDefault="00DF692D" w:rsidP="009E2AB2">
            <w:pPr>
              <w:jc w:val="center"/>
            </w:pPr>
            <w:r w:rsidRPr="00A967AD">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Japan</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proofErr w:type="spellStart"/>
            <w:r w:rsidRPr="00062BA1">
              <w:rPr>
                <w:rFonts w:eastAsia="Times New Roman" w:cs="Arial"/>
                <w:color w:val="141313"/>
                <w:sz w:val="16"/>
                <w:szCs w:val="16"/>
                <w:lang w:eastAsia="en-US"/>
              </w:rPr>
              <w:t>Ohgishima</w:t>
            </w:r>
            <w:proofErr w:type="spellEnd"/>
            <w:r w:rsidRPr="00062BA1">
              <w:rPr>
                <w:rFonts w:eastAsia="Times New Roman" w:cs="Arial"/>
                <w:color w:val="141313"/>
                <w:sz w:val="16"/>
                <w:szCs w:val="16"/>
                <w:lang w:eastAsia="en-US"/>
              </w:rPr>
              <w:t xml:space="preserve"> (Expansion)</w:t>
            </w:r>
          </w:p>
        </w:tc>
        <w:tc>
          <w:tcPr>
            <w:tcW w:w="763" w:type="dxa"/>
            <w:vAlign w:val="center"/>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2011</w:t>
            </w:r>
          </w:p>
        </w:tc>
        <w:tc>
          <w:tcPr>
            <w:tcW w:w="1026" w:type="dxa"/>
            <w:noWrap/>
            <w:vAlign w:val="center"/>
            <w:hideMark/>
          </w:tcPr>
          <w:p w:rsidR="00DF692D" w:rsidRPr="00062BA1" w:rsidRDefault="00DF692D" w:rsidP="009E2AB2">
            <w:pPr>
              <w:widowControl/>
              <w:jc w:val="center"/>
              <w:rPr>
                <w:rFonts w:eastAsia="Times New Roman" w:cs="Arial"/>
                <w:color w:val="141313"/>
                <w:sz w:val="16"/>
                <w:szCs w:val="16"/>
                <w:lang w:eastAsia="en-US"/>
              </w:rPr>
            </w:pPr>
            <w:r w:rsidRPr="00062BA1">
              <w:rPr>
                <w:rFonts w:eastAsia="Times New Roman" w:cs="Arial"/>
                <w:color w:val="141313"/>
                <w:sz w:val="16"/>
                <w:szCs w:val="16"/>
                <w:lang w:eastAsia="en-US"/>
              </w:rPr>
              <w:t>1.6</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Tokyo Gas</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Japan</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proofErr w:type="spellStart"/>
            <w:r w:rsidRPr="00062BA1">
              <w:rPr>
                <w:rFonts w:eastAsia="Times New Roman" w:cs="Arial"/>
                <w:color w:val="141313"/>
                <w:sz w:val="16"/>
                <w:szCs w:val="16"/>
                <w:lang w:eastAsia="en-US"/>
              </w:rPr>
              <w:t>Yufutsu</w:t>
            </w:r>
            <w:proofErr w:type="spellEnd"/>
          </w:p>
        </w:tc>
        <w:tc>
          <w:tcPr>
            <w:tcW w:w="763" w:type="dxa"/>
            <w:vAlign w:val="center"/>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2011</w:t>
            </w:r>
          </w:p>
        </w:tc>
        <w:tc>
          <w:tcPr>
            <w:tcW w:w="1026" w:type="dxa"/>
            <w:noWrap/>
            <w:vAlign w:val="center"/>
            <w:hideMark/>
          </w:tcPr>
          <w:p w:rsidR="00DF692D" w:rsidRPr="00062BA1" w:rsidRDefault="00DF692D" w:rsidP="009E2AB2">
            <w:pPr>
              <w:widowControl/>
              <w:jc w:val="center"/>
              <w:rPr>
                <w:rFonts w:eastAsia="Times New Roman" w:cs="Arial"/>
                <w:color w:val="141313"/>
                <w:sz w:val="16"/>
                <w:szCs w:val="16"/>
                <w:lang w:eastAsia="en-US"/>
              </w:rPr>
            </w:pPr>
            <w:r w:rsidRPr="00062BA1">
              <w:rPr>
                <w:rFonts w:eastAsia="Times New Roman" w:cs="Arial"/>
                <w:color w:val="141313"/>
                <w:sz w:val="16"/>
                <w:szCs w:val="16"/>
                <w:lang w:eastAsia="en-US"/>
              </w:rPr>
              <w:t>0.04</w:t>
            </w:r>
          </w:p>
        </w:tc>
        <w:tc>
          <w:tcPr>
            <w:tcW w:w="2981" w:type="dxa"/>
            <w:vAlign w:val="center"/>
          </w:tcPr>
          <w:p w:rsidR="00DF692D" w:rsidRPr="00062BA1" w:rsidRDefault="00DF692D" w:rsidP="00901311">
            <w:pPr>
              <w:rPr>
                <w:rFonts w:cs="Arial"/>
                <w:color w:val="141313"/>
                <w:sz w:val="16"/>
                <w:szCs w:val="16"/>
              </w:rPr>
            </w:pPr>
            <w:proofErr w:type="spellStart"/>
            <w:r w:rsidRPr="00062BA1">
              <w:rPr>
                <w:rFonts w:cs="Arial"/>
                <w:color w:val="141313"/>
                <w:sz w:val="16"/>
                <w:szCs w:val="16"/>
                <w:lang w:val="en-GB"/>
              </w:rPr>
              <w:t>Japex</w:t>
            </w:r>
            <w:proofErr w:type="spellEnd"/>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Netherlands</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GATE LNG</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8.8</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nl-NL"/>
              </w:rPr>
              <w:t>Gasunie, Vopak, Dong, OMV</w:t>
            </w:r>
          </w:p>
        </w:tc>
        <w:tc>
          <w:tcPr>
            <w:tcW w:w="944" w:type="dxa"/>
            <w:vAlign w:val="center"/>
          </w:tcPr>
          <w:p w:rsidR="00DF692D" w:rsidRDefault="00DF692D" w:rsidP="009E2AB2">
            <w:pPr>
              <w:jc w:val="center"/>
            </w:pPr>
            <w:r w:rsidRPr="00B463DE">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color w:val="141313" w:themeColor="text1"/>
                <w:sz w:val="16"/>
                <w:szCs w:val="16"/>
                <w:lang w:eastAsia="en-US"/>
              </w:rPr>
            </w:pPr>
            <w:r w:rsidRPr="00062BA1">
              <w:rPr>
                <w:rFonts w:eastAsia="Times New Roman" w:cs="Arial"/>
                <w:color w:val="141313" w:themeColor="text1"/>
                <w:sz w:val="16"/>
                <w:szCs w:val="16"/>
                <w:lang w:eastAsia="en-US"/>
              </w:rPr>
              <w:t>Norway</w:t>
            </w:r>
          </w:p>
        </w:tc>
        <w:tc>
          <w:tcPr>
            <w:tcW w:w="3349" w:type="dxa"/>
            <w:noWrap/>
            <w:vAlign w:val="center"/>
            <w:hideMark/>
          </w:tcPr>
          <w:p w:rsidR="00DF692D" w:rsidRPr="00062BA1" w:rsidRDefault="00DF692D" w:rsidP="009E2AB2">
            <w:pPr>
              <w:widowControl/>
              <w:rPr>
                <w:rFonts w:eastAsia="Times New Roman" w:cs="Arial"/>
                <w:color w:val="141313" w:themeColor="text1"/>
                <w:sz w:val="16"/>
                <w:szCs w:val="16"/>
                <w:lang w:eastAsia="en-US"/>
              </w:rPr>
            </w:pPr>
            <w:proofErr w:type="spellStart"/>
            <w:r w:rsidRPr="00062BA1">
              <w:rPr>
                <w:rFonts w:eastAsia="Times New Roman" w:cs="Arial"/>
                <w:color w:val="141313" w:themeColor="text1"/>
                <w:sz w:val="16"/>
                <w:szCs w:val="16"/>
                <w:lang w:eastAsia="en-US"/>
              </w:rPr>
              <w:t>Fredrikstad</w:t>
            </w:r>
            <w:proofErr w:type="spellEnd"/>
          </w:p>
        </w:tc>
        <w:tc>
          <w:tcPr>
            <w:tcW w:w="763" w:type="dxa"/>
            <w:vAlign w:val="center"/>
          </w:tcPr>
          <w:p w:rsidR="00DF692D" w:rsidRPr="00AC6B95" w:rsidRDefault="00DF692D" w:rsidP="009E2AB2">
            <w:pPr>
              <w:widowControl/>
              <w:rPr>
                <w:rFonts w:eastAsia="Times New Roman" w:cs="Arial"/>
                <w:color w:val="141313" w:themeColor="text1"/>
                <w:sz w:val="16"/>
                <w:szCs w:val="16"/>
                <w:lang w:eastAsia="en-US"/>
              </w:rPr>
            </w:pPr>
            <w:r w:rsidRPr="00AC6B95">
              <w:rPr>
                <w:rFonts w:eastAsia="Times New Roman" w:cs="Arial"/>
                <w:color w:val="141313" w:themeColor="text1"/>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themeColor="text1"/>
                <w:sz w:val="16"/>
                <w:szCs w:val="16"/>
                <w:lang w:eastAsia="en-US"/>
              </w:rPr>
            </w:pPr>
            <w:r w:rsidRPr="00AC6B95">
              <w:rPr>
                <w:rFonts w:eastAsia="Times New Roman" w:cs="Arial"/>
                <w:color w:val="141313" w:themeColor="text1"/>
                <w:sz w:val="16"/>
                <w:szCs w:val="16"/>
                <w:lang w:eastAsia="en-US"/>
              </w:rPr>
              <w:t>0.04</w:t>
            </w:r>
          </w:p>
        </w:tc>
        <w:tc>
          <w:tcPr>
            <w:tcW w:w="2981" w:type="dxa"/>
            <w:vAlign w:val="center"/>
          </w:tcPr>
          <w:p w:rsidR="00DF692D" w:rsidRPr="00062BA1" w:rsidRDefault="00DF692D" w:rsidP="00901311">
            <w:pPr>
              <w:rPr>
                <w:rFonts w:cs="Arial"/>
                <w:color w:val="141313" w:themeColor="text1"/>
                <w:sz w:val="16"/>
                <w:szCs w:val="16"/>
              </w:rPr>
            </w:pPr>
            <w:proofErr w:type="spellStart"/>
            <w:r w:rsidRPr="00062BA1">
              <w:rPr>
                <w:rFonts w:cs="Arial"/>
                <w:color w:val="141313" w:themeColor="text1"/>
                <w:sz w:val="16"/>
                <w:szCs w:val="16"/>
                <w:lang w:val="en-GB"/>
              </w:rPr>
              <w:t>Skangass</w:t>
            </w:r>
            <w:proofErr w:type="spellEnd"/>
            <w:r w:rsidRPr="00062BA1">
              <w:rPr>
                <w:rFonts w:cs="Arial"/>
                <w:color w:val="141313" w:themeColor="text1"/>
                <w:sz w:val="16"/>
                <w:szCs w:val="16"/>
                <w:lang w:val="en-GB"/>
              </w:rPr>
              <w:t xml:space="preserve"> LNG</w:t>
            </w:r>
          </w:p>
        </w:tc>
        <w:tc>
          <w:tcPr>
            <w:tcW w:w="944" w:type="dxa"/>
            <w:vAlign w:val="center"/>
          </w:tcPr>
          <w:p w:rsidR="00DF692D" w:rsidRPr="00062BA1" w:rsidRDefault="00DF692D" w:rsidP="009E2AB2">
            <w:pPr>
              <w:jc w:val="center"/>
              <w:rPr>
                <w:color w:val="141313" w:themeColor="text1"/>
              </w:rPr>
            </w:pPr>
            <w:r w:rsidRPr="00062BA1">
              <w:rPr>
                <w:rFonts w:cs="Arial"/>
                <w:color w:val="141313" w:themeColor="text1"/>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Spain</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Huelva (Storage Expansion)</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0</w:t>
            </w:r>
          </w:p>
        </w:tc>
        <w:tc>
          <w:tcPr>
            <w:tcW w:w="2981" w:type="dxa"/>
            <w:vAlign w:val="center"/>
          </w:tcPr>
          <w:p w:rsidR="00DF692D" w:rsidRPr="00062BA1" w:rsidRDefault="00DF692D" w:rsidP="00901311">
            <w:pPr>
              <w:widowControl/>
              <w:rPr>
                <w:rFonts w:eastAsia="Times New Roman" w:cs="Arial"/>
                <w:color w:val="141313"/>
                <w:sz w:val="16"/>
                <w:szCs w:val="16"/>
                <w:lang w:eastAsia="en-US"/>
              </w:rPr>
            </w:pPr>
            <w:r w:rsidRPr="00062BA1">
              <w:rPr>
                <w:rFonts w:eastAsia="Times New Roman" w:cs="Arial"/>
                <w:color w:val="141313"/>
                <w:sz w:val="16"/>
                <w:szCs w:val="16"/>
                <w:lang w:eastAsia="en-US"/>
              </w:rPr>
              <w:t>ENAGAS</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sz w:val="16"/>
                <w:szCs w:val="16"/>
                <w:lang w:eastAsia="en-US"/>
              </w:rPr>
            </w:pPr>
            <w:r w:rsidRPr="00062BA1">
              <w:rPr>
                <w:rFonts w:eastAsia="Times New Roman" w:cs="Arial"/>
                <w:sz w:val="16"/>
                <w:szCs w:val="16"/>
                <w:lang w:eastAsia="en-US"/>
              </w:rPr>
              <w:t>Spain</w:t>
            </w:r>
          </w:p>
        </w:tc>
        <w:tc>
          <w:tcPr>
            <w:tcW w:w="3349" w:type="dxa"/>
            <w:noWrap/>
            <w:vAlign w:val="center"/>
            <w:hideMark/>
          </w:tcPr>
          <w:p w:rsidR="00DF692D" w:rsidRPr="00062BA1" w:rsidRDefault="00DF692D" w:rsidP="009E2AB2">
            <w:pPr>
              <w:widowControl/>
              <w:rPr>
                <w:rFonts w:eastAsia="Times New Roman" w:cs="Arial"/>
                <w:sz w:val="16"/>
                <w:szCs w:val="16"/>
                <w:lang w:eastAsia="en-US"/>
              </w:rPr>
            </w:pPr>
            <w:proofErr w:type="spellStart"/>
            <w:r w:rsidRPr="00062BA1">
              <w:rPr>
                <w:rFonts w:eastAsia="Times New Roman" w:cs="Arial"/>
                <w:sz w:val="16"/>
                <w:szCs w:val="16"/>
                <w:lang w:eastAsia="en-US"/>
              </w:rPr>
              <w:t>Saggas</w:t>
            </w:r>
            <w:proofErr w:type="spellEnd"/>
            <w:r w:rsidRPr="00062BA1">
              <w:rPr>
                <w:rFonts w:eastAsia="Times New Roman" w:cs="Arial"/>
                <w:sz w:val="16"/>
                <w:szCs w:val="16"/>
                <w:lang w:eastAsia="en-US"/>
              </w:rPr>
              <w:t xml:space="preserve"> (Expansion)</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0.9</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 xml:space="preserve">RREEF Infrastructure, </w:t>
            </w:r>
            <w:proofErr w:type="spellStart"/>
            <w:r w:rsidRPr="00062BA1">
              <w:rPr>
                <w:rFonts w:cs="Arial"/>
                <w:color w:val="141313"/>
                <w:sz w:val="16"/>
                <w:szCs w:val="16"/>
                <w:lang w:val="en-GB"/>
              </w:rPr>
              <w:t>Eni</w:t>
            </w:r>
            <w:proofErr w:type="spellEnd"/>
            <w:r w:rsidRPr="00062BA1">
              <w:rPr>
                <w:rFonts w:cs="Arial"/>
                <w:color w:val="141313"/>
                <w:sz w:val="16"/>
                <w:szCs w:val="16"/>
                <w:lang w:val="en-GB"/>
              </w:rPr>
              <w:t xml:space="preserve">, Gas Natural </w:t>
            </w:r>
            <w:proofErr w:type="spellStart"/>
            <w:r w:rsidRPr="00062BA1">
              <w:rPr>
                <w:rFonts w:cs="Arial"/>
                <w:color w:val="141313"/>
                <w:sz w:val="16"/>
                <w:szCs w:val="16"/>
                <w:lang w:val="en-GB"/>
              </w:rPr>
              <w:t>Fenosa</w:t>
            </w:r>
            <w:proofErr w:type="spellEnd"/>
            <w:r w:rsidRPr="00062BA1">
              <w:rPr>
                <w:rFonts w:cs="Arial"/>
                <w:color w:val="141313"/>
                <w:sz w:val="16"/>
                <w:szCs w:val="16"/>
                <w:lang w:val="en-GB"/>
              </w:rPr>
              <w:t>, Osaka Gas, Oman Oil</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Sweden</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proofErr w:type="spellStart"/>
            <w:r w:rsidRPr="00062BA1">
              <w:rPr>
                <w:rFonts w:eastAsia="Times New Roman" w:cs="Arial"/>
                <w:color w:val="141313"/>
                <w:sz w:val="16"/>
                <w:szCs w:val="16"/>
                <w:lang w:eastAsia="en-US"/>
              </w:rPr>
              <w:t>Nynashamn</w:t>
            </w:r>
            <w:proofErr w:type="spellEnd"/>
            <w:r w:rsidRPr="00062BA1">
              <w:rPr>
                <w:rFonts w:eastAsia="Times New Roman" w:cs="Arial"/>
                <w:color w:val="141313"/>
                <w:sz w:val="16"/>
                <w:szCs w:val="16"/>
                <w:lang w:eastAsia="en-US"/>
              </w:rPr>
              <w:t xml:space="preserve"> LNG</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0.3</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AGA Gas AB</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Thailand</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proofErr w:type="spellStart"/>
            <w:r w:rsidRPr="00062BA1">
              <w:rPr>
                <w:rFonts w:eastAsia="Times New Roman" w:cs="Arial"/>
                <w:color w:val="141313"/>
                <w:sz w:val="16"/>
                <w:szCs w:val="16"/>
                <w:lang w:eastAsia="en-US"/>
              </w:rPr>
              <w:t>Rayong</w:t>
            </w:r>
            <w:proofErr w:type="spellEnd"/>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5</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PTT, EGAT, EGC</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US</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Golden Pass Phase 1</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7.5</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Qatar Petroleum, ExxonMobil, ConocoPhillips</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US</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Golden Pass Phase 2</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8.1</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Qatar Petroleum, ExxonMobil, ConocoPhillips</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US</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Gulf LNG</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2011</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11.3</w:t>
            </w:r>
          </w:p>
        </w:tc>
        <w:tc>
          <w:tcPr>
            <w:tcW w:w="2981" w:type="dxa"/>
            <w:vAlign w:val="center"/>
          </w:tcPr>
          <w:p w:rsidR="00DF692D" w:rsidRPr="00062BA1" w:rsidRDefault="00DF692D" w:rsidP="00901311">
            <w:pPr>
              <w:rPr>
                <w:rFonts w:cs="Arial"/>
                <w:color w:val="141313"/>
                <w:sz w:val="16"/>
                <w:szCs w:val="16"/>
              </w:rPr>
            </w:pPr>
            <w:proofErr w:type="spellStart"/>
            <w:r w:rsidRPr="00062BA1">
              <w:rPr>
                <w:rFonts w:cs="Arial"/>
                <w:color w:val="141313"/>
                <w:sz w:val="16"/>
                <w:szCs w:val="16"/>
                <w:lang w:val="es-ES"/>
              </w:rPr>
              <w:t>Kinder</w:t>
            </w:r>
            <w:proofErr w:type="spellEnd"/>
            <w:r w:rsidRPr="00062BA1">
              <w:rPr>
                <w:rFonts w:cs="Arial"/>
                <w:color w:val="141313"/>
                <w:sz w:val="16"/>
                <w:szCs w:val="16"/>
                <w:lang w:val="es-ES"/>
              </w:rPr>
              <w:t xml:space="preserve"> Morgan, GE </w:t>
            </w:r>
            <w:proofErr w:type="spellStart"/>
            <w:r w:rsidRPr="00062BA1">
              <w:rPr>
                <w:rFonts w:cs="Arial"/>
                <w:color w:val="141313"/>
                <w:sz w:val="16"/>
                <w:szCs w:val="16"/>
                <w:lang w:val="es-ES"/>
              </w:rPr>
              <w:t>Energy</w:t>
            </w:r>
            <w:proofErr w:type="spellEnd"/>
            <w:r w:rsidRPr="00062BA1">
              <w:rPr>
                <w:rFonts w:cs="Arial"/>
                <w:color w:val="141313"/>
                <w:sz w:val="16"/>
                <w:szCs w:val="16"/>
                <w:lang w:val="es-ES"/>
              </w:rPr>
              <w:t xml:space="preserve"> </w:t>
            </w:r>
            <w:proofErr w:type="spellStart"/>
            <w:r w:rsidRPr="00062BA1">
              <w:rPr>
                <w:rFonts w:cs="Arial"/>
                <w:color w:val="141313"/>
                <w:sz w:val="16"/>
                <w:szCs w:val="16"/>
                <w:lang w:val="es-ES"/>
              </w:rPr>
              <w:t>Financial</w:t>
            </w:r>
            <w:proofErr w:type="spellEnd"/>
            <w:r w:rsidRPr="00062BA1">
              <w:rPr>
                <w:rFonts w:cs="Arial"/>
                <w:color w:val="141313"/>
                <w:sz w:val="16"/>
                <w:szCs w:val="16"/>
                <w:lang w:val="es-ES"/>
              </w:rPr>
              <w:t xml:space="preserve"> </w:t>
            </w:r>
            <w:proofErr w:type="spellStart"/>
            <w:r w:rsidRPr="00062BA1">
              <w:rPr>
                <w:rFonts w:cs="Arial"/>
                <w:color w:val="141313"/>
                <w:sz w:val="16"/>
                <w:szCs w:val="16"/>
                <w:lang w:val="es-ES"/>
              </w:rPr>
              <w:t>Services</w:t>
            </w:r>
            <w:proofErr w:type="spellEnd"/>
            <w:r w:rsidRPr="00062BA1">
              <w:rPr>
                <w:rFonts w:cs="Arial"/>
                <w:color w:val="141313"/>
                <w:sz w:val="16"/>
                <w:szCs w:val="16"/>
                <w:lang w:val="es-ES"/>
              </w:rPr>
              <w:t xml:space="preserve">, </w:t>
            </w:r>
            <w:proofErr w:type="spellStart"/>
            <w:r w:rsidRPr="00062BA1">
              <w:rPr>
                <w:rFonts w:cs="Arial"/>
                <w:color w:val="141313"/>
                <w:sz w:val="16"/>
                <w:szCs w:val="16"/>
                <w:lang w:val="es-ES"/>
              </w:rPr>
              <w:t>Sonangol</w:t>
            </w:r>
            <w:proofErr w:type="spellEnd"/>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Brazil</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Guanabara LNG/R</w:t>
            </w:r>
            <w:r>
              <w:rPr>
                <w:rFonts w:eastAsia="Times New Roman" w:cs="Arial"/>
                <w:color w:val="141313"/>
                <w:sz w:val="16"/>
                <w:szCs w:val="16"/>
                <w:lang w:eastAsia="en-US"/>
              </w:rPr>
              <w:t>io de Janeiro</w:t>
            </w:r>
            <w:r w:rsidRPr="00062BA1">
              <w:rPr>
                <w:rFonts w:eastAsia="Times New Roman" w:cs="Arial"/>
                <w:color w:val="141313"/>
                <w:sz w:val="16"/>
                <w:szCs w:val="16"/>
                <w:lang w:eastAsia="en-US"/>
              </w:rPr>
              <w:t xml:space="preserve"> Excelerate Energy Bridging FSRU </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4.7</w:t>
            </w:r>
          </w:p>
        </w:tc>
        <w:tc>
          <w:tcPr>
            <w:tcW w:w="2981" w:type="dxa"/>
            <w:vAlign w:val="center"/>
          </w:tcPr>
          <w:p w:rsidR="00DF692D" w:rsidRPr="00062BA1" w:rsidRDefault="00DF692D" w:rsidP="00901311">
            <w:pPr>
              <w:widowControl/>
              <w:rPr>
                <w:rFonts w:eastAsia="Times New Roman" w:cs="Arial"/>
                <w:color w:val="141313"/>
                <w:sz w:val="16"/>
                <w:szCs w:val="16"/>
                <w:lang w:eastAsia="en-US"/>
              </w:rPr>
            </w:pPr>
            <w:r>
              <w:rPr>
                <w:rFonts w:eastAsia="Times New Roman" w:cs="Arial"/>
                <w:color w:val="141313"/>
                <w:sz w:val="16"/>
                <w:szCs w:val="16"/>
                <w:lang w:eastAsia="en-US"/>
              </w:rPr>
              <w:t>Petrobras</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sz w:val="16"/>
                <w:szCs w:val="16"/>
                <w:lang w:eastAsia="en-US"/>
              </w:rPr>
            </w:pPr>
            <w:r w:rsidRPr="00062BA1">
              <w:rPr>
                <w:rFonts w:eastAsia="Times New Roman" w:cs="Arial"/>
                <w:sz w:val="16"/>
                <w:szCs w:val="16"/>
                <w:lang w:eastAsia="en-US"/>
              </w:rPr>
              <w:t>Indonesia</w:t>
            </w:r>
          </w:p>
        </w:tc>
        <w:tc>
          <w:tcPr>
            <w:tcW w:w="3349" w:type="dxa"/>
            <w:noWrap/>
            <w:vAlign w:val="center"/>
            <w:hideMark/>
          </w:tcPr>
          <w:p w:rsidR="00DF692D" w:rsidRPr="00062BA1" w:rsidRDefault="00DF692D" w:rsidP="009E2AB2">
            <w:pPr>
              <w:widowControl/>
              <w:rPr>
                <w:rFonts w:eastAsia="Times New Roman" w:cs="Arial"/>
                <w:sz w:val="16"/>
                <w:szCs w:val="16"/>
                <w:lang w:eastAsia="en-US"/>
              </w:rPr>
            </w:pPr>
            <w:r>
              <w:rPr>
                <w:rFonts w:eastAsia="Times New Roman" w:cs="Arial"/>
                <w:sz w:val="16"/>
                <w:szCs w:val="16"/>
                <w:lang w:eastAsia="en-US"/>
              </w:rPr>
              <w:t>Nusantara</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sz w:val="16"/>
                <w:szCs w:val="16"/>
                <w:lang w:eastAsia="en-US"/>
              </w:rPr>
            </w:pPr>
            <w:r w:rsidRPr="00AC6B95">
              <w:rPr>
                <w:rFonts w:eastAsia="Times New Roman" w:cs="Arial"/>
                <w:sz w:val="16"/>
                <w:szCs w:val="16"/>
                <w:lang w:eastAsia="en-US"/>
              </w:rPr>
              <w:t>3.8</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Pertamina, PGN</w:t>
            </w:r>
          </w:p>
        </w:tc>
        <w:tc>
          <w:tcPr>
            <w:tcW w:w="944" w:type="dxa"/>
            <w:vAlign w:val="center"/>
          </w:tcPr>
          <w:p w:rsidR="00DF692D" w:rsidRPr="00062BA1" w:rsidRDefault="00DF692D" w:rsidP="009E2AB2">
            <w:pPr>
              <w:jc w:val="center"/>
            </w:pPr>
            <w:r w:rsidRPr="00062BA1">
              <w:rPr>
                <w:rFonts w:cs="Arial"/>
                <w:color w:val="141313"/>
                <w:sz w:val="16"/>
                <w:szCs w:val="16"/>
                <w:lang w:val="en-GB"/>
              </w:rPr>
              <w:t>Floating</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sz w:val="16"/>
                <w:szCs w:val="16"/>
                <w:lang w:eastAsia="en-US"/>
              </w:rPr>
            </w:pPr>
            <w:r w:rsidRPr="00062BA1">
              <w:rPr>
                <w:rFonts w:eastAsia="Times New Roman" w:cs="Arial"/>
                <w:sz w:val="16"/>
                <w:szCs w:val="16"/>
                <w:lang w:eastAsia="en-US"/>
              </w:rPr>
              <w:t>Japan</w:t>
            </w:r>
          </w:p>
        </w:tc>
        <w:tc>
          <w:tcPr>
            <w:tcW w:w="3349" w:type="dxa"/>
            <w:noWrap/>
            <w:vAlign w:val="center"/>
            <w:hideMark/>
          </w:tcPr>
          <w:p w:rsidR="00DF692D" w:rsidRPr="00062BA1" w:rsidRDefault="00DF692D" w:rsidP="009E2AB2">
            <w:pPr>
              <w:widowControl/>
              <w:rPr>
                <w:rFonts w:eastAsia="Times New Roman" w:cs="Arial"/>
                <w:sz w:val="16"/>
                <w:szCs w:val="16"/>
                <w:lang w:eastAsia="en-US"/>
              </w:rPr>
            </w:pPr>
            <w:r w:rsidRPr="00062BA1">
              <w:rPr>
                <w:rFonts w:eastAsia="Times New Roman" w:cs="Arial"/>
                <w:sz w:val="16"/>
                <w:szCs w:val="16"/>
                <w:lang w:eastAsia="en-US"/>
              </w:rPr>
              <w:t>Ishikari LNG</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sz w:val="16"/>
                <w:szCs w:val="16"/>
                <w:lang w:eastAsia="en-US"/>
              </w:rPr>
            </w:pPr>
            <w:r w:rsidRPr="00AC6B95">
              <w:rPr>
                <w:rFonts w:eastAsia="Times New Roman" w:cs="Arial"/>
                <w:sz w:val="16"/>
                <w:szCs w:val="16"/>
                <w:lang w:eastAsia="en-US"/>
              </w:rPr>
              <w:t>1.4</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Hokkaido Gas</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sz w:val="16"/>
                <w:szCs w:val="16"/>
                <w:lang w:eastAsia="en-US"/>
              </w:rPr>
            </w:pPr>
            <w:r w:rsidRPr="00062BA1">
              <w:rPr>
                <w:rFonts w:eastAsia="Times New Roman" w:cs="Arial"/>
                <w:sz w:val="16"/>
                <w:szCs w:val="16"/>
                <w:lang w:eastAsia="en-US"/>
              </w:rPr>
              <w:t>Japan</w:t>
            </w:r>
          </w:p>
        </w:tc>
        <w:tc>
          <w:tcPr>
            <w:tcW w:w="3349" w:type="dxa"/>
            <w:noWrap/>
            <w:vAlign w:val="center"/>
            <w:hideMark/>
          </w:tcPr>
          <w:p w:rsidR="00DF692D" w:rsidRPr="00062BA1" w:rsidRDefault="00DF692D" w:rsidP="009E2AB2">
            <w:pPr>
              <w:widowControl/>
              <w:rPr>
                <w:rFonts w:eastAsia="Times New Roman" w:cs="Arial"/>
                <w:sz w:val="16"/>
                <w:szCs w:val="16"/>
                <w:lang w:eastAsia="en-US"/>
              </w:rPr>
            </w:pPr>
            <w:proofErr w:type="spellStart"/>
            <w:r w:rsidRPr="00062BA1">
              <w:rPr>
                <w:rFonts w:eastAsia="Times New Roman" w:cs="Arial"/>
                <w:sz w:val="16"/>
                <w:szCs w:val="16"/>
                <w:lang w:eastAsia="en-US"/>
              </w:rPr>
              <w:t>Joetsu</w:t>
            </w:r>
            <w:proofErr w:type="spellEnd"/>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sz w:val="16"/>
                <w:szCs w:val="16"/>
                <w:lang w:eastAsia="en-US"/>
              </w:rPr>
            </w:pPr>
            <w:r w:rsidRPr="00AC6B95">
              <w:rPr>
                <w:rFonts w:eastAsia="Times New Roman" w:cs="Arial"/>
                <w:sz w:val="16"/>
                <w:szCs w:val="16"/>
                <w:lang w:eastAsia="en-US"/>
              </w:rPr>
              <w:t>N/A</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Chubu Electric</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color w:val="141313" w:themeColor="text1"/>
                <w:sz w:val="16"/>
                <w:szCs w:val="16"/>
                <w:lang w:eastAsia="en-US"/>
              </w:rPr>
            </w:pPr>
            <w:r w:rsidRPr="00062BA1">
              <w:rPr>
                <w:rFonts w:eastAsia="Times New Roman" w:cs="Arial"/>
                <w:color w:val="141313" w:themeColor="text1"/>
                <w:sz w:val="16"/>
                <w:szCs w:val="16"/>
                <w:lang w:eastAsia="en-US"/>
              </w:rPr>
              <w:t>Japan</w:t>
            </w:r>
          </w:p>
        </w:tc>
        <w:tc>
          <w:tcPr>
            <w:tcW w:w="3349" w:type="dxa"/>
            <w:noWrap/>
            <w:vAlign w:val="center"/>
            <w:hideMark/>
          </w:tcPr>
          <w:p w:rsidR="00DF692D" w:rsidRPr="00062BA1" w:rsidRDefault="00DF692D" w:rsidP="009E2AB2">
            <w:pPr>
              <w:widowControl/>
              <w:rPr>
                <w:rFonts w:eastAsia="Times New Roman" w:cs="Arial"/>
                <w:color w:val="141313" w:themeColor="text1"/>
                <w:sz w:val="16"/>
                <w:szCs w:val="16"/>
                <w:lang w:eastAsia="en-US"/>
              </w:rPr>
            </w:pPr>
            <w:proofErr w:type="spellStart"/>
            <w:r w:rsidRPr="00062BA1">
              <w:rPr>
                <w:rFonts w:eastAsia="Times New Roman" w:cs="Arial"/>
                <w:color w:val="141313" w:themeColor="text1"/>
                <w:sz w:val="16"/>
                <w:szCs w:val="16"/>
                <w:lang w:eastAsia="en-US"/>
              </w:rPr>
              <w:t>Yoshinoura</w:t>
            </w:r>
            <w:proofErr w:type="spellEnd"/>
          </w:p>
        </w:tc>
        <w:tc>
          <w:tcPr>
            <w:tcW w:w="763" w:type="dxa"/>
            <w:vAlign w:val="center"/>
          </w:tcPr>
          <w:p w:rsidR="00DF692D" w:rsidRPr="00AC6B95" w:rsidRDefault="00DF692D" w:rsidP="009E2AB2">
            <w:pPr>
              <w:widowControl/>
              <w:rPr>
                <w:rFonts w:eastAsia="Times New Roman" w:cs="Arial"/>
                <w:color w:val="141313" w:themeColor="text1"/>
                <w:sz w:val="16"/>
                <w:szCs w:val="16"/>
                <w:lang w:eastAsia="en-US"/>
              </w:rPr>
            </w:pPr>
            <w:r w:rsidRPr="00AC6B95">
              <w:rPr>
                <w:rFonts w:eastAsia="Times New Roman" w:cs="Arial"/>
                <w:color w:val="141313" w:themeColor="text1"/>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color w:val="141313" w:themeColor="text1"/>
                <w:sz w:val="16"/>
                <w:szCs w:val="16"/>
                <w:lang w:eastAsia="en-US"/>
              </w:rPr>
            </w:pPr>
            <w:r w:rsidRPr="00AC6B95">
              <w:rPr>
                <w:rFonts w:eastAsia="Times New Roman" w:cs="Arial"/>
                <w:color w:val="141313" w:themeColor="text1"/>
                <w:sz w:val="16"/>
                <w:szCs w:val="16"/>
                <w:lang w:eastAsia="en-US"/>
              </w:rPr>
              <w:t>0.5</w:t>
            </w:r>
          </w:p>
        </w:tc>
        <w:tc>
          <w:tcPr>
            <w:tcW w:w="2981" w:type="dxa"/>
            <w:vAlign w:val="center"/>
          </w:tcPr>
          <w:p w:rsidR="00DF692D" w:rsidRPr="00062BA1" w:rsidRDefault="00DF692D" w:rsidP="00901311">
            <w:pPr>
              <w:rPr>
                <w:rFonts w:cs="Arial"/>
                <w:color w:val="141313" w:themeColor="text1"/>
                <w:sz w:val="16"/>
                <w:szCs w:val="16"/>
              </w:rPr>
            </w:pPr>
            <w:r w:rsidRPr="00062BA1">
              <w:rPr>
                <w:rFonts w:cs="Arial"/>
                <w:color w:val="141313" w:themeColor="text1"/>
                <w:sz w:val="16"/>
                <w:szCs w:val="16"/>
                <w:lang w:val="en-GB"/>
              </w:rPr>
              <w:t>Okinawa Electric</w:t>
            </w:r>
          </w:p>
        </w:tc>
        <w:tc>
          <w:tcPr>
            <w:tcW w:w="944" w:type="dxa"/>
            <w:vAlign w:val="center"/>
          </w:tcPr>
          <w:p w:rsidR="00DF692D" w:rsidRPr="00062BA1" w:rsidRDefault="00DF692D" w:rsidP="009E2AB2">
            <w:pPr>
              <w:jc w:val="center"/>
              <w:rPr>
                <w:color w:val="141313" w:themeColor="text1"/>
              </w:rPr>
            </w:pPr>
            <w:r w:rsidRPr="00062BA1">
              <w:rPr>
                <w:rFonts w:cs="Arial"/>
                <w:color w:val="141313" w:themeColor="text1"/>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Mexico</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proofErr w:type="spellStart"/>
            <w:r w:rsidRPr="00062BA1">
              <w:rPr>
                <w:rFonts w:eastAsia="Times New Roman" w:cs="Arial"/>
                <w:color w:val="141313"/>
                <w:sz w:val="16"/>
                <w:szCs w:val="16"/>
                <w:lang w:eastAsia="en-US"/>
              </w:rPr>
              <w:t>Manzanillo</w:t>
            </w:r>
            <w:proofErr w:type="spellEnd"/>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3.8</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Mitsui, Samsung, KOGAS</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062BA1" w:rsidRDefault="00DF692D" w:rsidP="009E2AB2">
            <w:pPr>
              <w:widowControl/>
              <w:rPr>
                <w:rFonts w:eastAsia="Times New Roman" w:cs="Arial"/>
                <w:color w:val="141313"/>
                <w:sz w:val="16"/>
                <w:szCs w:val="16"/>
                <w:lang w:eastAsia="en-US"/>
              </w:rPr>
            </w:pPr>
            <w:r w:rsidRPr="00062BA1">
              <w:rPr>
                <w:rFonts w:eastAsia="Times New Roman" w:cs="Arial"/>
                <w:color w:val="141313"/>
                <w:sz w:val="16"/>
                <w:szCs w:val="16"/>
                <w:lang w:eastAsia="en-US"/>
              </w:rPr>
              <w:t>Portugal</w:t>
            </w:r>
          </w:p>
        </w:tc>
        <w:tc>
          <w:tcPr>
            <w:tcW w:w="3349" w:type="dxa"/>
            <w:noWrap/>
            <w:vAlign w:val="center"/>
            <w:hideMark/>
          </w:tcPr>
          <w:p w:rsidR="00DF692D" w:rsidRPr="00062BA1" w:rsidRDefault="00DF692D" w:rsidP="009E2AB2">
            <w:pPr>
              <w:widowControl/>
              <w:rPr>
                <w:rFonts w:eastAsia="Times New Roman" w:cs="Arial"/>
                <w:color w:val="141313"/>
                <w:sz w:val="16"/>
                <w:szCs w:val="16"/>
                <w:lang w:eastAsia="en-US"/>
              </w:rPr>
            </w:pPr>
            <w:proofErr w:type="spellStart"/>
            <w:r w:rsidRPr="00062BA1">
              <w:rPr>
                <w:rFonts w:eastAsia="Times New Roman" w:cs="Arial"/>
                <w:color w:val="141313"/>
                <w:sz w:val="16"/>
                <w:szCs w:val="16"/>
                <w:lang w:eastAsia="en-US"/>
              </w:rPr>
              <w:t>Sines</w:t>
            </w:r>
            <w:proofErr w:type="spellEnd"/>
            <w:r w:rsidRPr="00062BA1">
              <w:rPr>
                <w:rFonts w:eastAsia="Times New Roman" w:cs="Arial"/>
                <w:color w:val="141313"/>
                <w:sz w:val="16"/>
                <w:szCs w:val="16"/>
                <w:lang w:eastAsia="en-US"/>
              </w:rPr>
              <w:t xml:space="preserve"> LNG (Expansion Phase 1)</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2</w:t>
            </w:r>
          </w:p>
        </w:tc>
        <w:tc>
          <w:tcPr>
            <w:tcW w:w="2981" w:type="dxa"/>
            <w:vAlign w:val="center"/>
          </w:tcPr>
          <w:p w:rsidR="00DF692D" w:rsidRPr="00062BA1" w:rsidRDefault="00DF692D" w:rsidP="00901311">
            <w:pPr>
              <w:rPr>
                <w:rFonts w:cs="Arial"/>
                <w:color w:val="141313"/>
                <w:sz w:val="16"/>
                <w:szCs w:val="16"/>
              </w:rPr>
            </w:pPr>
            <w:r w:rsidRPr="00062BA1">
              <w:rPr>
                <w:rFonts w:cs="Arial"/>
                <w:color w:val="141313"/>
                <w:sz w:val="16"/>
                <w:szCs w:val="16"/>
                <w:lang w:val="en-GB"/>
              </w:rPr>
              <w:t>REN</w:t>
            </w:r>
          </w:p>
        </w:tc>
        <w:tc>
          <w:tcPr>
            <w:tcW w:w="944" w:type="dxa"/>
            <w:vAlign w:val="center"/>
          </w:tcPr>
          <w:p w:rsidR="00DF692D" w:rsidRPr="00062BA1" w:rsidRDefault="00DF692D" w:rsidP="009E2AB2">
            <w:pPr>
              <w:jc w:val="center"/>
            </w:pPr>
            <w:r w:rsidRPr="00062BA1">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Puerto Rico</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Peñuelas</w:t>
            </w:r>
            <w:proofErr w:type="spellEnd"/>
            <w:r w:rsidRPr="0071442C">
              <w:rPr>
                <w:rFonts w:eastAsia="Times New Roman" w:cs="Arial"/>
                <w:color w:val="141313"/>
                <w:sz w:val="16"/>
                <w:szCs w:val="16"/>
                <w:lang w:eastAsia="en-US"/>
              </w:rPr>
              <w:t xml:space="preserve"> (Expansion)</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2012</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0.6</w:t>
            </w:r>
          </w:p>
        </w:tc>
        <w:tc>
          <w:tcPr>
            <w:tcW w:w="2981" w:type="dxa"/>
            <w:vAlign w:val="center"/>
          </w:tcPr>
          <w:p w:rsidR="00DF692D" w:rsidRDefault="00DF692D" w:rsidP="00901311">
            <w:pPr>
              <w:rPr>
                <w:rFonts w:cs="Arial"/>
                <w:color w:val="141313"/>
                <w:sz w:val="16"/>
                <w:szCs w:val="16"/>
              </w:rPr>
            </w:pPr>
            <w:r>
              <w:rPr>
                <w:rFonts w:cs="Arial"/>
                <w:color w:val="141313"/>
                <w:sz w:val="16"/>
                <w:szCs w:val="16"/>
                <w:lang w:val="en-GB"/>
              </w:rPr>
              <w:t xml:space="preserve">Gas Natural </w:t>
            </w:r>
            <w:proofErr w:type="spellStart"/>
            <w:r>
              <w:rPr>
                <w:rFonts w:cs="Arial"/>
                <w:color w:val="141313"/>
                <w:sz w:val="16"/>
                <w:szCs w:val="16"/>
                <w:lang w:val="en-GB"/>
              </w:rPr>
              <w:t>Fenosa</w:t>
            </w:r>
            <w:proofErr w:type="spellEnd"/>
            <w:r>
              <w:rPr>
                <w:rFonts w:cs="Arial"/>
                <w:color w:val="141313"/>
                <w:sz w:val="16"/>
                <w:szCs w:val="16"/>
                <w:lang w:val="en-GB"/>
              </w:rPr>
              <w:t>, International Power, Mitsui, GE Capital</w:t>
            </w:r>
          </w:p>
        </w:tc>
        <w:tc>
          <w:tcPr>
            <w:tcW w:w="944" w:type="dxa"/>
            <w:vAlign w:val="center"/>
          </w:tcPr>
          <w:p w:rsidR="00DF692D" w:rsidRDefault="00DF692D" w:rsidP="009E2AB2">
            <w:pPr>
              <w:jc w:val="center"/>
            </w:pPr>
            <w:r w:rsidRPr="00B463DE">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China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Ningbo, Zhejiang</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2013</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3</w:t>
            </w:r>
          </w:p>
        </w:tc>
        <w:tc>
          <w:tcPr>
            <w:tcW w:w="2981" w:type="dxa"/>
            <w:vAlign w:val="center"/>
          </w:tcPr>
          <w:p w:rsidR="00DF692D" w:rsidRPr="0071442C" w:rsidRDefault="00DF692D" w:rsidP="00901311">
            <w:pPr>
              <w:widowControl/>
              <w:rPr>
                <w:rFonts w:eastAsia="Times New Roman" w:cs="Arial"/>
                <w:color w:val="141313"/>
                <w:sz w:val="16"/>
                <w:szCs w:val="16"/>
                <w:lang w:eastAsia="en-US"/>
              </w:rPr>
            </w:pPr>
            <w:r w:rsidRPr="004460F3">
              <w:rPr>
                <w:rFonts w:eastAsia="Times New Roman" w:cs="Arial"/>
                <w:color w:val="141313"/>
                <w:sz w:val="16"/>
                <w:szCs w:val="16"/>
                <w:lang w:eastAsia="en-US"/>
              </w:rPr>
              <w:t>CNOOC, Ningbo Power Development Co Ltd, Zhejiang Energy Group Co Ltd</w:t>
            </w:r>
          </w:p>
        </w:tc>
        <w:tc>
          <w:tcPr>
            <w:tcW w:w="944" w:type="dxa"/>
            <w:vAlign w:val="center"/>
          </w:tcPr>
          <w:p w:rsidR="00DF692D" w:rsidRDefault="00DF692D" w:rsidP="009E2AB2">
            <w:pPr>
              <w:jc w:val="center"/>
            </w:pPr>
            <w:r w:rsidRPr="00B463DE">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India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Dabhol LNG</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2013</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2</w:t>
            </w:r>
          </w:p>
        </w:tc>
        <w:tc>
          <w:tcPr>
            <w:tcW w:w="2981" w:type="dxa"/>
            <w:vAlign w:val="center"/>
          </w:tcPr>
          <w:p w:rsidR="00DF692D" w:rsidRPr="00CA0773" w:rsidRDefault="00DF692D" w:rsidP="00901311">
            <w:pPr>
              <w:rPr>
                <w:rFonts w:cs="Arial"/>
                <w:color w:val="141313"/>
                <w:sz w:val="16"/>
                <w:szCs w:val="16"/>
              </w:rPr>
            </w:pPr>
            <w:r>
              <w:rPr>
                <w:rFonts w:cs="Arial"/>
                <w:color w:val="141313"/>
                <w:sz w:val="16"/>
                <w:szCs w:val="16"/>
                <w:lang w:val="en-GB"/>
              </w:rPr>
              <w:t>GAIL, NTPC, Indian financial institutions,</w:t>
            </w:r>
            <w:r>
              <w:rPr>
                <w:rFonts w:cs="Arial"/>
                <w:color w:val="141313"/>
                <w:lang w:val="en-GB"/>
              </w:rPr>
              <w:t xml:space="preserve"> </w:t>
            </w:r>
            <w:r>
              <w:rPr>
                <w:rFonts w:cs="Arial"/>
                <w:color w:val="141313"/>
                <w:sz w:val="16"/>
                <w:szCs w:val="16"/>
                <w:lang w:val="en-GB"/>
              </w:rPr>
              <w:t>MSEB Holding Co.</w:t>
            </w:r>
          </w:p>
        </w:tc>
        <w:tc>
          <w:tcPr>
            <w:tcW w:w="944" w:type="dxa"/>
            <w:vAlign w:val="center"/>
          </w:tcPr>
          <w:p w:rsidR="00DF692D" w:rsidRDefault="00DF692D" w:rsidP="009E2AB2">
            <w:pPr>
              <w:jc w:val="center"/>
            </w:pPr>
            <w:r w:rsidRPr="00B463DE">
              <w:rPr>
                <w:rFonts w:cs="Arial"/>
                <w:color w:val="141313"/>
                <w:sz w:val="16"/>
                <w:szCs w:val="16"/>
                <w:lang w:val="en-GB"/>
              </w:rPr>
              <w:t>Onshore</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India</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Hazira LNG (Expansion)</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2013</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1.4</w:t>
            </w:r>
          </w:p>
        </w:tc>
        <w:tc>
          <w:tcPr>
            <w:tcW w:w="2981" w:type="dxa"/>
            <w:vAlign w:val="center"/>
          </w:tcPr>
          <w:p w:rsidR="00DF692D" w:rsidRPr="0071442C" w:rsidRDefault="00DF692D" w:rsidP="00901311">
            <w:pPr>
              <w:widowControl/>
              <w:rPr>
                <w:rFonts w:eastAsia="Times New Roman" w:cs="Arial"/>
                <w:color w:val="141313"/>
                <w:sz w:val="16"/>
                <w:szCs w:val="16"/>
                <w:lang w:eastAsia="en-US"/>
              </w:rPr>
            </w:pPr>
            <w:r w:rsidRPr="004460F3">
              <w:rPr>
                <w:rFonts w:eastAsia="Times New Roman" w:cs="Arial"/>
                <w:color w:val="141313"/>
                <w:sz w:val="16"/>
                <w:szCs w:val="16"/>
                <w:lang w:eastAsia="en-US"/>
              </w:rPr>
              <w:t>Shell, TOTAL</w:t>
            </w:r>
          </w:p>
        </w:tc>
        <w:tc>
          <w:tcPr>
            <w:tcW w:w="944" w:type="dxa"/>
            <w:vAlign w:val="center"/>
          </w:tcPr>
          <w:p w:rsidR="00DF692D" w:rsidRDefault="00DF692D" w:rsidP="009E2AB2">
            <w:pPr>
              <w:jc w:val="center"/>
            </w:pPr>
            <w:r w:rsidRPr="00B463DE">
              <w:rPr>
                <w:rFonts w:cs="Arial"/>
                <w:color w:val="141313"/>
                <w:sz w:val="16"/>
                <w:szCs w:val="16"/>
                <w:lang w:val="en-GB"/>
              </w:rPr>
              <w:t>Onshore</w:t>
            </w:r>
          </w:p>
        </w:tc>
      </w:tr>
      <w:tr w:rsidR="00DF692D" w:rsidRPr="0071442C" w:rsidTr="00901311">
        <w:trPr>
          <w:cnfStyle w:val="000000010000"/>
          <w:trHeight w:val="245"/>
        </w:trPr>
        <w:tc>
          <w:tcPr>
            <w:tcW w:w="1079" w:type="dxa"/>
            <w:noWrap/>
            <w:vAlign w:val="center"/>
            <w:hideMark/>
          </w:tcPr>
          <w:p w:rsidR="00DF692D" w:rsidRPr="0071442C" w:rsidRDefault="00DF692D" w:rsidP="009E2AB2">
            <w:pPr>
              <w:widowControl/>
              <w:rPr>
                <w:rFonts w:eastAsia="Times New Roman" w:cs="Arial"/>
                <w:sz w:val="16"/>
                <w:szCs w:val="16"/>
                <w:lang w:eastAsia="en-US"/>
              </w:rPr>
            </w:pPr>
            <w:r w:rsidRPr="0071442C">
              <w:rPr>
                <w:rFonts w:eastAsia="Times New Roman" w:cs="Arial"/>
                <w:sz w:val="16"/>
                <w:szCs w:val="16"/>
                <w:lang w:eastAsia="en-US"/>
              </w:rPr>
              <w:t>Israel</w:t>
            </w:r>
          </w:p>
        </w:tc>
        <w:tc>
          <w:tcPr>
            <w:tcW w:w="3349" w:type="dxa"/>
            <w:noWrap/>
            <w:vAlign w:val="center"/>
            <w:hideMark/>
          </w:tcPr>
          <w:p w:rsidR="00DF692D" w:rsidRPr="0071442C" w:rsidRDefault="00DF692D" w:rsidP="009E2AB2">
            <w:pPr>
              <w:widowControl/>
              <w:rPr>
                <w:rFonts w:eastAsia="Times New Roman" w:cs="Arial"/>
                <w:sz w:val="16"/>
                <w:szCs w:val="16"/>
                <w:lang w:eastAsia="en-US"/>
              </w:rPr>
            </w:pPr>
            <w:proofErr w:type="spellStart"/>
            <w:r>
              <w:rPr>
                <w:rFonts w:eastAsia="Times New Roman" w:cs="Arial"/>
                <w:sz w:val="16"/>
                <w:szCs w:val="16"/>
                <w:lang w:eastAsia="en-US"/>
              </w:rPr>
              <w:t>Hadera</w:t>
            </w:r>
            <w:proofErr w:type="spellEnd"/>
            <w:r>
              <w:rPr>
                <w:rFonts w:eastAsia="Times New Roman" w:cs="Arial"/>
                <w:sz w:val="16"/>
                <w:szCs w:val="16"/>
                <w:lang w:eastAsia="en-US"/>
              </w:rPr>
              <w:t xml:space="preserve"> Gateway</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2013</w:t>
            </w:r>
          </w:p>
        </w:tc>
        <w:tc>
          <w:tcPr>
            <w:tcW w:w="1026" w:type="dxa"/>
            <w:noWrap/>
            <w:vAlign w:val="center"/>
            <w:hideMark/>
          </w:tcPr>
          <w:p w:rsidR="00DF692D" w:rsidRPr="00AC6B95" w:rsidRDefault="00DF692D" w:rsidP="009E2AB2">
            <w:pPr>
              <w:widowControl/>
              <w:jc w:val="center"/>
              <w:rPr>
                <w:rFonts w:eastAsia="Times New Roman" w:cs="Arial"/>
                <w:sz w:val="16"/>
                <w:szCs w:val="16"/>
                <w:lang w:eastAsia="en-US"/>
              </w:rPr>
            </w:pPr>
            <w:r w:rsidRPr="00AC6B95">
              <w:rPr>
                <w:rFonts w:eastAsia="Times New Roman" w:cs="Arial"/>
                <w:sz w:val="16"/>
                <w:szCs w:val="16"/>
                <w:lang w:eastAsia="en-US"/>
              </w:rPr>
              <w:t>1.8</w:t>
            </w:r>
          </w:p>
        </w:tc>
        <w:tc>
          <w:tcPr>
            <w:tcW w:w="2981" w:type="dxa"/>
            <w:vAlign w:val="center"/>
          </w:tcPr>
          <w:p w:rsidR="00DF692D" w:rsidRPr="00CA0773" w:rsidRDefault="00DF692D" w:rsidP="00901311">
            <w:pPr>
              <w:rPr>
                <w:rFonts w:cs="Arial"/>
                <w:color w:val="141313"/>
                <w:sz w:val="16"/>
                <w:szCs w:val="16"/>
              </w:rPr>
            </w:pPr>
            <w:r>
              <w:rPr>
                <w:rFonts w:cs="Arial"/>
                <w:color w:val="141313"/>
                <w:sz w:val="16"/>
                <w:szCs w:val="16"/>
                <w:lang w:val="en-GB"/>
              </w:rPr>
              <w:t>Israel Natural Gas Lines</w:t>
            </w:r>
          </w:p>
        </w:tc>
        <w:tc>
          <w:tcPr>
            <w:tcW w:w="944" w:type="dxa"/>
            <w:vAlign w:val="center"/>
          </w:tcPr>
          <w:p w:rsidR="00DF692D" w:rsidRDefault="00DF692D" w:rsidP="009E2AB2">
            <w:pPr>
              <w:jc w:val="center"/>
            </w:pPr>
            <w:r>
              <w:rPr>
                <w:rFonts w:cs="Arial"/>
                <w:color w:val="141313"/>
                <w:sz w:val="16"/>
                <w:szCs w:val="16"/>
                <w:lang w:val="en-GB"/>
              </w:rPr>
              <w:t>Floating</w:t>
            </w:r>
          </w:p>
        </w:tc>
      </w:tr>
      <w:tr w:rsidR="00DF692D" w:rsidRPr="0071442C" w:rsidTr="00901311">
        <w:trPr>
          <w:cnfStyle w:val="000000100000"/>
          <w:trHeight w:val="245"/>
        </w:trPr>
        <w:tc>
          <w:tcPr>
            <w:tcW w:w="1079" w:type="dxa"/>
            <w:noWrap/>
            <w:vAlign w:val="center"/>
            <w:hideMark/>
          </w:tcPr>
          <w:p w:rsidR="00DF692D" w:rsidRPr="0071442C" w:rsidRDefault="00DF692D" w:rsidP="009E2AB2">
            <w:pPr>
              <w:widowControl/>
              <w:rPr>
                <w:rFonts w:eastAsia="Times New Roman" w:cs="Arial"/>
                <w:color w:val="141313"/>
                <w:sz w:val="16"/>
                <w:szCs w:val="16"/>
                <w:lang w:eastAsia="en-US"/>
              </w:rPr>
            </w:pPr>
            <w:r w:rsidRPr="0071442C">
              <w:rPr>
                <w:rFonts w:eastAsia="Times New Roman" w:cs="Arial"/>
                <w:color w:val="141313"/>
                <w:sz w:val="16"/>
                <w:szCs w:val="16"/>
                <w:lang w:eastAsia="en-US"/>
              </w:rPr>
              <w:t>Singapore</w:t>
            </w:r>
          </w:p>
        </w:tc>
        <w:tc>
          <w:tcPr>
            <w:tcW w:w="3349" w:type="dxa"/>
            <w:noWrap/>
            <w:vAlign w:val="center"/>
            <w:hideMark/>
          </w:tcPr>
          <w:p w:rsidR="00DF692D" w:rsidRPr="0071442C" w:rsidRDefault="00DF692D" w:rsidP="009E2AB2">
            <w:pPr>
              <w:widowControl/>
              <w:rPr>
                <w:rFonts w:eastAsia="Times New Roman" w:cs="Arial"/>
                <w:color w:val="141313"/>
                <w:sz w:val="16"/>
                <w:szCs w:val="16"/>
                <w:lang w:eastAsia="en-US"/>
              </w:rPr>
            </w:pPr>
            <w:proofErr w:type="spellStart"/>
            <w:r w:rsidRPr="0071442C">
              <w:rPr>
                <w:rFonts w:eastAsia="Times New Roman" w:cs="Arial"/>
                <w:color w:val="141313"/>
                <w:sz w:val="16"/>
                <w:szCs w:val="16"/>
                <w:lang w:eastAsia="en-US"/>
              </w:rPr>
              <w:t>Jurong</w:t>
            </w:r>
            <w:proofErr w:type="spellEnd"/>
            <w:r w:rsidRPr="0071442C">
              <w:rPr>
                <w:rFonts w:eastAsia="Times New Roman" w:cs="Arial"/>
                <w:color w:val="141313"/>
                <w:sz w:val="16"/>
                <w:szCs w:val="16"/>
                <w:lang w:eastAsia="en-US"/>
              </w:rPr>
              <w:t xml:space="preserve"> Island LNG Phase 1</w:t>
            </w:r>
          </w:p>
        </w:tc>
        <w:tc>
          <w:tcPr>
            <w:tcW w:w="763" w:type="dxa"/>
            <w:vAlign w:val="center"/>
          </w:tcPr>
          <w:p w:rsidR="00DF692D" w:rsidRPr="00AC6B95" w:rsidRDefault="00DF692D" w:rsidP="009E2AB2">
            <w:pPr>
              <w:widowControl/>
              <w:rPr>
                <w:rFonts w:eastAsia="Times New Roman" w:cs="Arial"/>
                <w:color w:val="141313"/>
                <w:sz w:val="16"/>
                <w:szCs w:val="16"/>
                <w:lang w:eastAsia="en-US"/>
              </w:rPr>
            </w:pPr>
            <w:r w:rsidRPr="00AC6B95">
              <w:rPr>
                <w:rFonts w:eastAsia="Times New Roman" w:cs="Arial"/>
                <w:color w:val="141313"/>
                <w:sz w:val="16"/>
                <w:szCs w:val="16"/>
                <w:lang w:eastAsia="en-US"/>
              </w:rPr>
              <w:t>2013</w:t>
            </w:r>
          </w:p>
        </w:tc>
        <w:tc>
          <w:tcPr>
            <w:tcW w:w="1026" w:type="dxa"/>
            <w:noWrap/>
            <w:vAlign w:val="center"/>
            <w:hideMark/>
          </w:tcPr>
          <w:p w:rsidR="00DF692D" w:rsidRPr="00AC6B95" w:rsidRDefault="00DF692D" w:rsidP="009E2AB2">
            <w:pPr>
              <w:widowControl/>
              <w:jc w:val="center"/>
              <w:rPr>
                <w:rFonts w:eastAsia="Times New Roman" w:cs="Arial"/>
                <w:color w:val="141313"/>
                <w:sz w:val="16"/>
                <w:szCs w:val="16"/>
                <w:lang w:eastAsia="en-US"/>
              </w:rPr>
            </w:pPr>
            <w:r w:rsidRPr="00AC6B95">
              <w:rPr>
                <w:rFonts w:eastAsia="Times New Roman" w:cs="Arial"/>
                <w:color w:val="141313"/>
                <w:sz w:val="16"/>
                <w:szCs w:val="16"/>
                <w:lang w:eastAsia="en-US"/>
              </w:rPr>
              <w:t>3.5</w:t>
            </w:r>
          </w:p>
        </w:tc>
        <w:tc>
          <w:tcPr>
            <w:tcW w:w="2981" w:type="dxa"/>
            <w:vAlign w:val="center"/>
          </w:tcPr>
          <w:p w:rsidR="00DF692D" w:rsidRPr="0071442C" w:rsidRDefault="00DF692D" w:rsidP="00901311">
            <w:pPr>
              <w:widowControl/>
              <w:rPr>
                <w:rFonts w:eastAsia="Times New Roman" w:cs="Arial"/>
                <w:color w:val="141313"/>
                <w:sz w:val="16"/>
                <w:szCs w:val="16"/>
                <w:lang w:eastAsia="en-US"/>
              </w:rPr>
            </w:pPr>
            <w:r w:rsidRPr="004460F3">
              <w:rPr>
                <w:rFonts w:eastAsia="Times New Roman" w:cs="Arial"/>
                <w:color w:val="141313"/>
                <w:sz w:val="16"/>
                <w:szCs w:val="16"/>
                <w:lang w:eastAsia="en-US"/>
              </w:rPr>
              <w:t>Singapore Energy Market Authority</w:t>
            </w:r>
          </w:p>
        </w:tc>
        <w:tc>
          <w:tcPr>
            <w:tcW w:w="944" w:type="dxa"/>
            <w:vAlign w:val="center"/>
          </w:tcPr>
          <w:p w:rsidR="00DF692D" w:rsidRDefault="00DF692D" w:rsidP="009E2AB2">
            <w:pPr>
              <w:jc w:val="center"/>
            </w:pPr>
            <w:r w:rsidRPr="00B463DE">
              <w:rPr>
                <w:rFonts w:cs="Arial"/>
                <w:color w:val="141313"/>
                <w:sz w:val="16"/>
                <w:szCs w:val="16"/>
                <w:lang w:val="en-GB"/>
              </w:rPr>
              <w:t>Onshore</w:t>
            </w:r>
          </w:p>
        </w:tc>
      </w:tr>
      <w:tr w:rsidR="00FF514B" w:rsidRPr="0071442C" w:rsidTr="00901311">
        <w:trPr>
          <w:cnfStyle w:val="000000010000"/>
          <w:trHeight w:val="245"/>
        </w:trPr>
        <w:tc>
          <w:tcPr>
            <w:tcW w:w="1079" w:type="dxa"/>
            <w:noWrap/>
            <w:vAlign w:val="center"/>
            <w:hideMark/>
          </w:tcPr>
          <w:p w:rsidR="00FF514B" w:rsidRPr="00C83A8E" w:rsidRDefault="00FF514B" w:rsidP="00FF514B">
            <w:pPr>
              <w:widowControl/>
              <w:rPr>
                <w:rFonts w:eastAsia="Times New Roman" w:cs="Arial"/>
                <w:sz w:val="16"/>
                <w:szCs w:val="16"/>
                <w:lang w:eastAsia="en-US"/>
              </w:rPr>
            </w:pPr>
            <w:r w:rsidRPr="00C83A8E">
              <w:rPr>
                <w:rFonts w:eastAsia="Times New Roman" w:cs="Arial"/>
                <w:sz w:val="16"/>
                <w:szCs w:val="16"/>
                <w:lang w:eastAsia="en-US"/>
              </w:rPr>
              <w:t>Malaysia</w:t>
            </w:r>
          </w:p>
        </w:tc>
        <w:tc>
          <w:tcPr>
            <w:tcW w:w="3349" w:type="dxa"/>
            <w:noWrap/>
            <w:vAlign w:val="center"/>
            <w:hideMark/>
          </w:tcPr>
          <w:p w:rsidR="00FF514B" w:rsidRPr="00C83A8E" w:rsidRDefault="00FF514B" w:rsidP="00FF514B">
            <w:pPr>
              <w:widowControl/>
              <w:rPr>
                <w:rFonts w:eastAsia="Times New Roman" w:cs="Arial"/>
                <w:sz w:val="16"/>
                <w:szCs w:val="16"/>
                <w:lang w:eastAsia="en-US"/>
              </w:rPr>
            </w:pPr>
            <w:proofErr w:type="spellStart"/>
            <w:r w:rsidRPr="00C83A8E">
              <w:rPr>
                <w:rFonts w:eastAsia="Times New Roman" w:cs="Arial"/>
                <w:sz w:val="16"/>
                <w:szCs w:val="16"/>
                <w:lang w:eastAsia="en-US"/>
              </w:rPr>
              <w:t>Lekas</w:t>
            </w:r>
            <w:proofErr w:type="spellEnd"/>
            <w:r w:rsidRPr="00C83A8E">
              <w:rPr>
                <w:rFonts w:eastAsia="Times New Roman" w:cs="Arial"/>
                <w:sz w:val="16"/>
                <w:szCs w:val="16"/>
                <w:lang w:eastAsia="en-US"/>
              </w:rPr>
              <w:t xml:space="preserve"> LNG</w:t>
            </w:r>
          </w:p>
        </w:tc>
        <w:tc>
          <w:tcPr>
            <w:tcW w:w="763" w:type="dxa"/>
            <w:vAlign w:val="center"/>
          </w:tcPr>
          <w:p w:rsidR="00FF514B" w:rsidRPr="00C83A8E" w:rsidRDefault="00FF514B" w:rsidP="00FF514B">
            <w:pPr>
              <w:widowControl/>
              <w:rPr>
                <w:rFonts w:eastAsia="Times New Roman" w:cs="Arial"/>
                <w:sz w:val="16"/>
                <w:szCs w:val="16"/>
                <w:lang w:eastAsia="en-US"/>
              </w:rPr>
            </w:pPr>
            <w:r w:rsidRPr="00C83A8E">
              <w:rPr>
                <w:rFonts w:eastAsia="Times New Roman" w:cs="Arial"/>
                <w:sz w:val="16"/>
                <w:szCs w:val="16"/>
                <w:lang w:eastAsia="en-US"/>
              </w:rPr>
              <w:t>2013</w:t>
            </w:r>
          </w:p>
        </w:tc>
        <w:tc>
          <w:tcPr>
            <w:tcW w:w="1026" w:type="dxa"/>
            <w:noWrap/>
            <w:vAlign w:val="center"/>
            <w:hideMark/>
          </w:tcPr>
          <w:p w:rsidR="00FF514B" w:rsidRPr="00C83A8E" w:rsidRDefault="00FF514B" w:rsidP="00FF514B">
            <w:pPr>
              <w:widowControl/>
              <w:jc w:val="center"/>
              <w:rPr>
                <w:rFonts w:eastAsia="Times New Roman" w:cs="Arial"/>
                <w:sz w:val="16"/>
                <w:szCs w:val="16"/>
                <w:lang w:eastAsia="en-US"/>
              </w:rPr>
            </w:pPr>
            <w:r w:rsidRPr="00C83A8E">
              <w:rPr>
                <w:rFonts w:eastAsia="Times New Roman" w:cs="Arial"/>
                <w:sz w:val="16"/>
                <w:szCs w:val="16"/>
                <w:lang w:eastAsia="en-US"/>
              </w:rPr>
              <w:t>3.8</w:t>
            </w:r>
          </w:p>
        </w:tc>
        <w:tc>
          <w:tcPr>
            <w:tcW w:w="2981" w:type="dxa"/>
            <w:vAlign w:val="center"/>
          </w:tcPr>
          <w:p w:rsidR="00FF514B" w:rsidRPr="00C83A8E" w:rsidRDefault="00FF514B" w:rsidP="00FF514B">
            <w:pPr>
              <w:widowControl/>
              <w:rPr>
                <w:rFonts w:eastAsia="Times New Roman" w:cs="Arial"/>
                <w:sz w:val="16"/>
                <w:szCs w:val="16"/>
                <w:lang w:eastAsia="en-US"/>
              </w:rPr>
            </w:pPr>
            <w:r w:rsidRPr="00C83A8E">
              <w:rPr>
                <w:rFonts w:eastAsia="Times New Roman" w:cs="Arial"/>
                <w:sz w:val="16"/>
                <w:szCs w:val="16"/>
                <w:lang w:eastAsia="en-US"/>
              </w:rPr>
              <w:t>PETRONAS</w:t>
            </w:r>
          </w:p>
        </w:tc>
        <w:tc>
          <w:tcPr>
            <w:tcW w:w="944" w:type="dxa"/>
            <w:vAlign w:val="center"/>
          </w:tcPr>
          <w:p w:rsidR="00FF514B" w:rsidRPr="00C83A8E" w:rsidRDefault="00FF514B" w:rsidP="00FF514B">
            <w:pPr>
              <w:jc w:val="center"/>
              <w:rPr>
                <w:rFonts w:cs="Arial"/>
                <w:sz w:val="16"/>
                <w:szCs w:val="16"/>
                <w:lang w:val="en-GB"/>
              </w:rPr>
            </w:pPr>
            <w:r w:rsidRPr="00C83A8E">
              <w:rPr>
                <w:rFonts w:cs="Arial"/>
                <w:sz w:val="16"/>
                <w:szCs w:val="16"/>
                <w:lang w:val="en-GB"/>
              </w:rPr>
              <w:t>Onshore</w:t>
            </w:r>
          </w:p>
        </w:tc>
      </w:tr>
    </w:tbl>
    <w:p w:rsidR="00DF692D" w:rsidRPr="00062BA1" w:rsidRDefault="00DF692D" w:rsidP="00DF692D">
      <w:pPr>
        <w:spacing w:after="120"/>
        <w:jc w:val="both"/>
        <w:rPr>
          <w:i/>
          <w:color w:val="141313" w:themeColor="text1"/>
          <w:sz w:val="16"/>
          <w:szCs w:val="16"/>
          <w:lang w:val="en-GB"/>
        </w:rPr>
      </w:pPr>
      <w:r w:rsidRPr="00062BA1">
        <w:rPr>
          <w:i/>
          <w:color w:val="141313" w:themeColor="text1"/>
          <w:sz w:val="16"/>
          <w:szCs w:val="16"/>
          <w:lang w:val="en-GB"/>
        </w:rPr>
        <w:t>Source: PFC Energy Global LNG Service, Company Announcements</w:t>
      </w:r>
    </w:p>
    <w:p w:rsidR="00DF692D" w:rsidRDefault="00DF692D" w:rsidP="00DF692D">
      <w:pPr>
        <w:spacing w:after="120"/>
        <w:jc w:val="both"/>
        <w:rPr>
          <w:i/>
          <w:color w:val="141313" w:themeColor="text1"/>
          <w:sz w:val="16"/>
          <w:szCs w:val="16"/>
          <w:lang w:val="en-GB"/>
        </w:rPr>
      </w:pPr>
      <w:r w:rsidRPr="00062BA1">
        <w:rPr>
          <w:i/>
          <w:color w:val="141313" w:themeColor="text1"/>
          <w:sz w:val="16"/>
          <w:szCs w:val="16"/>
          <w:lang w:val="en-GB"/>
        </w:rPr>
        <w:t>* Companies are listed by size of ownership stake, starting with the largest stake</w:t>
      </w: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Default="00DF692D" w:rsidP="00DF692D">
      <w:pPr>
        <w:spacing w:after="120"/>
        <w:jc w:val="both"/>
        <w:rPr>
          <w:i/>
          <w:color w:val="141313" w:themeColor="text1"/>
          <w:sz w:val="16"/>
          <w:szCs w:val="16"/>
          <w:lang w:val="en-GB"/>
        </w:rPr>
      </w:pPr>
    </w:p>
    <w:p w:rsidR="00DF692D" w:rsidRPr="00062BA1" w:rsidRDefault="00DF692D" w:rsidP="00DF692D">
      <w:pPr>
        <w:spacing w:after="120"/>
        <w:jc w:val="both"/>
        <w:rPr>
          <w:i/>
          <w:color w:val="141313" w:themeColor="text1"/>
          <w:sz w:val="16"/>
          <w:szCs w:val="16"/>
          <w:lang w:val="en-GB"/>
        </w:rPr>
      </w:pPr>
    </w:p>
    <w:p w:rsidR="00DF692D" w:rsidRPr="00627EEA" w:rsidRDefault="00DF692D" w:rsidP="00627EEA">
      <w:pPr>
        <w:pStyle w:val="Titre1"/>
      </w:pPr>
      <w:bookmarkStart w:id="53" w:name="_Toc360628274"/>
      <w:r w:rsidRPr="00627EEA">
        <w:lastRenderedPageBreak/>
        <w:t xml:space="preserve">APPENDIX IV: Table of LNG Receiving Terminals </w:t>
      </w:r>
      <w:proofErr w:type="gramStart"/>
      <w:r w:rsidRPr="00627EEA">
        <w:t>Under</w:t>
      </w:r>
      <w:proofErr w:type="gramEnd"/>
      <w:r w:rsidRPr="00627EEA">
        <w:t xml:space="preserve"> Construction</w:t>
      </w:r>
      <w:bookmarkEnd w:id="53"/>
    </w:p>
    <w:tbl>
      <w:tblPr>
        <w:tblStyle w:val="Grillemoyenne3-Accent3"/>
        <w:tblW w:w="10098" w:type="dxa"/>
        <w:tblLook w:val="0420"/>
      </w:tblPr>
      <w:tblGrid>
        <w:gridCol w:w="1098"/>
        <w:gridCol w:w="3330"/>
        <w:gridCol w:w="810"/>
        <w:gridCol w:w="1026"/>
        <w:gridCol w:w="2934"/>
        <w:gridCol w:w="900"/>
      </w:tblGrid>
      <w:tr w:rsidR="00DF692D" w:rsidRPr="002F7E46" w:rsidTr="009E2AB2">
        <w:trPr>
          <w:cnfStyle w:val="100000000000"/>
          <w:trHeight w:val="315"/>
        </w:trPr>
        <w:tc>
          <w:tcPr>
            <w:tcW w:w="1098" w:type="dxa"/>
            <w:noWrap/>
            <w:vAlign w:val="center"/>
            <w:hideMark/>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Country</w:t>
            </w:r>
          </w:p>
        </w:tc>
        <w:tc>
          <w:tcPr>
            <w:tcW w:w="3330" w:type="dxa"/>
            <w:noWrap/>
            <w:vAlign w:val="center"/>
            <w:hideMark/>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Terminal or Phase Name</w:t>
            </w:r>
          </w:p>
        </w:tc>
        <w:tc>
          <w:tcPr>
            <w:tcW w:w="810" w:type="dxa"/>
            <w:noWrap/>
            <w:vAlign w:val="center"/>
            <w:hideMark/>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Start Year</w:t>
            </w:r>
          </w:p>
        </w:tc>
        <w:tc>
          <w:tcPr>
            <w:tcW w:w="1026" w:type="dxa"/>
            <w:noWrap/>
            <w:vAlign w:val="center"/>
            <w:hideMark/>
          </w:tcPr>
          <w:p w:rsidR="00DF692D" w:rsidRPr="002F7E46" w:rsidRDefault="00DF692D" w:rsidP="009E2AB2">
            <w:pPr>
              <w:widowControl/>
              <w:rPr>
                <w:rFonts w:eastAsia="Times New Roman" w:cs="Arial"/>
                <w:sz w:val="16"/>
                <w:szCs w:val="16"/>
                <w:lang w:eastAsia="en-US"/>
              </w:rPr>
            </w:pPr>
            <w:r>
              <w:rPr>
                <w:rFonts w:eastAsia="Times New Roman" w:cs="Arial"/>
                <w:sz w:val="16"/>
                <w:szCs w:val="16"/>
                <w:lang w:eastAsia="en-US"/>
              </w:rPr>
              <w:t>Nameplate Receiving Capacity (MTPA)</w:t>
            </w:r>
          </w:p>
        </w:tc>
        <w:tc>
          <w:tcPr>
            <w:tcW w:w="2934" w:type="dxa"/>
            <w:vAlign w:val="center"/>
            <w:hideMark/>
          </w:tcPr>
          <w:p w:rsidR="00DF692D" w:rsidRPr="0071442C" w:rsidRDefault="00DF692D" w:rsidP="009E2AB2">
            <w:pPr>
              <w:widowControl/>
              <w:rPr>
                <w:rFonts w:eastAsia="Times New Roman" w:cs="Arial"/>
                <w:sz w:val="16"/>
                <w:szCs w:val="16"/>
                <w:lang w:eastAsia="en-US"/>
              </w:rPr>
            </w:pPr>
            <w:r>
              <w:rPr>
                <w:rFonts w:eastAsia="Times New Roman" w:cs="Arial"/>
                <w:sz w:val="16"/>
                <w:szCs w:val="16"/>
                <w:lang w:eastAsia="en-US"/>
              </w:rPr>
              <w:t>Project Partners*</w:t>
            </w:r>
          </w:p>
        </w:tc>
        <w:tc>
          <w:tcPr>
            <w:tcW w:w="900" w:type="dxa"/>
            <w:vAlign w:val="center"/>
          </w:tcPr>
          <w:p w:rsidR="00DF692D" w:rsidRDefault="00DF692D" w:rsidP="009E2AB2">
            <w:pPr>
              <w:widowControl/>
              <w:rPr>
                <w:rFonts w:eastAsia="Times New Roman" w:cs="Arial"/>
                <w:sz w:val="16"/>
                <w:szCs w:val="16"/>
                <w:lang w:eastAsia="en-US"/>
              </w:rPr>
            </w:pPr>
            <w:r>
              <w:rPr>
                <w:rFonts w:eastAsia="Times New Roman" w:cs="Arial"/>
                <w:sz w:val="16"/>
                <w:szCs w:val="16"/>
                <w:lang w:eastAsia="en-US"/>
              </w:rPr>
              <w:t>Concept</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Brazil</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Bahia/TRBA</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sz w:val="16"/>
                <w:szCs w:val="16"/>
                <w:lang w:eastAsia="en-US"/>
              </w:rPr>
            </w:pPr>
            <w:r w:rsidRPr="002F7E46">
              <w:rPr>
                <w:rFonts w:eastAsia="Times New Roman" w:cs="Arial"/>
                <w:sz w:val="16"/>
                <w:szCs w:val="16"/>
                <w:lang w:eastAsia="en-US"/>
              </w:rPr>
              <w:t>3.8</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Petrobras</w:t>
            </w:r>
          </w:p>
        </w:tc>
        <w:tc>
          <w:tcPr>
            <w:tcW w:w="900" w:type="dxa"/>
            <w:vAlign w:val="center"/>
          </w:tcPr>
          <w:p w:rsidR="00DF692D" w:rsidRPr="002F7E46" w:rsidRDefault="00DF692D" w:rsidP="009E2AB2">
            <w:pPr>
              <w:widowControl/>
              <w:rPr>
                <w:rFonts w:eastAsia="Times New Roman" w:cs="Arial"/>
                <w:color w:val="141313"/>
                <w:sz w:val="16"/>
                <w:szCs w:val="16"/>
                <w:lang w:val="en-GB" w:eastAsia="en-US"/>
              </w:rPr>
            </w:pPr>
            <w:r>
              <w:rPr>
                <w:rFonts w:eastAsia="Times New Roman" w:cs="Arial"/>
                <w:color w:val="141313"/>
                <w:sz w:val="16"/>
                <w:szCs w:val="16"/>
                <w:lang w:val="en-GB" w:eastAsia="en-US"/>
              </w:rPr>
              <w:t>Floating</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Chile</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Mejillones</w:t>
            </w:r>
            <w:proofErr w:type="spellEnd"/>
            <w:r w:rsidRPr="002F7E46">
              <w:rPr>
                <w:rFonts w:eastAsia="Times New Roman" w:cs="Arial"/>
                <w:color w:val="141313"/>
                <w:sz w:val="16"/>
                <w:szCs w:val="16"/>
                <w:lang w:eastAsia="en-US"/>
              </w:rPr>
              <w:t xml:space="preserve"> LNG (Phase 2)</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1.5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 xml:space="preserve">GDF SUEZ, </w:t>
            </w:r>
            <w:proofErr w:type="spellStart"/>
            <w:r w:rsidRPr="002F7E46">
              <w:rPr>
                <w:rFonts w:eastAsia="Times New Roman" w:cs="Arial"/>
                <w:color w:val="141313"/>
                <w:sz w:val="16"/>
                <w:szCs w:val="16"/>
                <w:lang w:val="en-GB" w:eastAsia="en-US"/>
              </w:rPr>
              <w:t>Codelco</w:t>
            </w:r>
            <w:proofErr w:type="spellEnd"/>
          </w:p>
        </w:tc>
        <w:tc>
          <w:tcPr>
            <w:tcW w:w="900" w:type="dxa"/>
            <w:vAlign w:val="center"/>
          </w:tcPr>
          <w:p w:rsidR="00DF692D" w:rsidRPr="002F7E46" w:rsidRDefault="00DF692D" w:rsidP="009E2AB2">
            <w:pPr>
              <w:widowControl/>
              <w:rPr>
                <w:rFonts w:eastAsia="Times New Roman" w:cs="Arial"/>
                <w:color w:val="141313"/>
                <w:sz w:val="16"/>
                <w:szCs w:val="16"/>
                <w:lang w:val="en-GB" w:eastAsia="en-US"/>
              </w:rPr>
            </w:pPr>
            <w:r>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China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Tangshan (</w:t>
            </w:r>
            <w:proofErr w:type="spellStart"/>
            <w:r w:rsidRPr="002F7E46">
              <w:rPr>
                <w:rFonts w:eastAsia="Times New Roman" w:cs="Arial"/>
                <w:color w:val="141313"/>
                <w:sz w:val="16"/>
                <w:szCs w:val="16"/>
                <w:lang w:eastAsia="en-US"/>
              </w:rPr>
              <w:t>Caofeidian</w:t>
            </w:r>
            <w:proofErr w:type="spellEnd"/>
            <w:r w:rsidRPr="002F7E46">
              <w:rPr>
                <w:rFonts w:eastAsia="Times New Roman" w:cs="Arial"/>
                <w:color w:val="141313"/>
                <w:sz w:val="16"/>
                <w:szCs w:val="16"/>
                <w:lang w:eastAsia="en-US"/>
              </w:rPr>
              <w:t>)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PetroChina</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China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Tianjin FSRU</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2.2</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CNOOC</w:t>
            </w:r>
          </w:p>
        </w:tc>
        <w:tc>
          <w:tcPr>
            <w:tcW w:w="900" w:type="dxa"/>
            <w:vAlign w:val="center"/>
          </w:tcPr>
          <w:p w:rsidR="00DF692D" w:rsidRDefault="00DF692D" w:rsidP="009E2AB2">
            <w:r>
              <w:rPr>
                <w:rFonts w:eastAsia="Times New Roman" w:cs="Arial"/>
                <w:color w:val="141313"/>
                <w:sz w:val="16"/>
                <w:szCs w:val="16"/>
                <w:lang w:val="en-GB" w:eastAsia="en-US"/>
              </w:rPr>
              <w:t>Floating</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China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Zhuhai</w:t>
            </w:r>
            <w:proofErr w:type="spellEnd"/>
            <w:r w:rsidRPr="002F7E46">
              <w:rPr>
                <w:rFonts w:eastAsia="Times New Roman" w:cs="Arial"/>
                <w:color w:val="141313"/>
                <w:sz w:val="16"/>
                <w:szCs w:val="16"/>
                <w:lang w:eastAsia="en-US"/>
              </w:rPr>
              <w:t xml:space="preserve"> (CNOOC)</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CNOOC, Guangdong Gas, Local Companies</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India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Kochi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Petronet LNG</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Italy</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Livorno/LNG Toscana</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2.7</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E.ON, IREN, OLT Energy, Golar</w:t>
            </w:r>
          </w:p>
        </w:tc>
        <w:tc>
          <w:tcPr>
            <w:tcW w:w="900" w:type="dxa"/>
            <w:vAlign w:val="center"/>
          </w:tcPr>
          <w:p w:rsidR="00DF692D" w:rsidRDefault="00DF692D" w:rsidP="009E2AB2">
            <w:r>
              <w:rPr>
                <w:rFonts w:eastAsia="Times New Roman" w:cs="Arial"/>
                <w:color w:val="141313"/>
                <w:sz w:val="16"/>
                <w:szCs w:val="16"/>
                <w:lang w:val="en-GB" w:eastAsia="en-US"/>
              </w:rPr>
              <w:t>Floating</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Malaysia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Lekas</w:t>
            </w:r>
            <w:proofErr w:type="spellEnd"/>
            <w:r w:rsidRPr="002F7E46">
              <w:rPr>
                <w:rFonts w:eastAsia="Times New Roman" w:cs="Arial"/>
                <w:color w:val="141313"/>
                <w:sz w:val="16"/>
                <w:szCs w:val="16"/>
                <w:lang w:eastAsia="en-US"/>
              </w:rPr>
              <w:t xml:space="preserve"> LNG (Malacca)</w:t>
            </w:r>
            <w:r>
              <w:rPr>
                <w:rFonts w:eastAsia="Times New Roman" w:cs="Arial"/>
                <w:color w:val="141313"/>
                <w:sz w:val="16"/>
                <w:szCs w:val="16"/>
                <w:lang w:eastAsia="en-US"/>
              </w:rPr>
              <w:t>**</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2013</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3.8</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PETRONAS</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Brazil</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Guanabara LN</w:t>
            </w:r>
            <w:r>
              <w:rPr>
                <w:rFonts w:eastAsia="Times New Roman" w:cs="Arial"/>
                <w:color w:val="141313"/>
                <w:sz w:val="16"/>
                <w:szCs w:val="16"/>
                <w:lang w:eastAsia="en-US"/>
              </w:rPr>
              <w:t xml:space="preserve">G/Rio de Janeiro </w:t>
            </w:r>
            <w:r w:rsidRPr="002F7E46">
              <w:rPr>
                <w:rFonts w:eastAsia="Times New Roman" w:cs="Arial"/>
                <w:color w:val="141313"/>
                <w:sz w:val="16"/>
                <w:szCs w:val="16"/>
                <w:lang w:eastAsia="en-US"/>
              </w:rPr>
              <w:t>Excelerate Energy VT3 FSRU Contract</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5.3</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Pr>
                <w:rFonts w:eastAsia="Times New Roman" w:cs="Arial"/>
                <w:color w:val="141313"/>
                <w:sz w:val="16"/>
                <w:szCs w:val="16"/>
                <w:lang w:val="en-GB" w:eastAsia="en-US"/>
              </w:rPr>
              <w:t>Petrobras</w:t>
            </w:r>
          </w:p>
        </w:tc>
        <w:tc>
          <w:tcPr>
            <w:tcW w:w="900" w:type="dxa"/>
            <w:vAlign w:val="center"/>
          </w:tcPr>
          <w:p w:rsidR="00DF692D" w:rsidRDefault="00DF692D" w:rsidP="009E2AB2">
            <w:r>
              <w:rPr>
                <w:rFonts w:eastAsia="Times New Roman" w:cs="Arial"/>
                <w:color w:val="141313"/>
                <w:sz w:val="16"/>
                <w:szCs w:val="16"/>
                <w:lang w:val="en-GB" w:eastAsia="en-US"/>
              </w:rPr>
              <w:t>Floating</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Chile</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Pr>
                <w:rFonts w:eastAsia="Times New Roman" w:cs="Arial"/>
                <w:color w:val="141313"/>
                <w:sz w:val="16"/>
                <w:szCs w:val="16"/>
                <w:lang w:eastAsia="en-US"/>
              </w:rPr>
              <w:t>Colbún</w:t>
            </w:r>
            <w:proofErr w:type="spellEnd"/>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3.8</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 xml:space="preserve">AES, </w:t>
            </w:r>
            <w:proofErr w:type="spellStart"/>
            <w:r w:rsidRPr="002F7E46">
              <w:rPr>
                <w:rFonts w:eastAsia="Times New Roman" w:cs="Arial"/>
                <w:color w:val="141313"/>
                <w:sz w:val="16"/>
                <w:szCs w:val="16"/>
                <w:lang w:val="en-GB" w:eastAsia="en-US"/>
              </w:rPr>
              <w:t>Colbun</w:t>
            </w:r>
            <w:proofErr w:type="spellEnd"/>
          </w:p>
        </w:tc>
        <w:tc>
          <w:tcPr>
            <w:tcW w:w="900" w:type="dxa"/>
            <w:vAlign w:val="center"/>
          </w:tcPr>
          <w:p w:rsidR="00DF692D" w:rsidRDefault="00DF692D" w:rsidP="009E2AB2">
            <w:r>
              <w:rPr>
                <w:rFonts w:eastAsia="Times New Roman" w:cs="Arial"/>
                <w:color w:val="141313"/>
                <w:sz w:val="16"/>
                <w:szCs w:val="16"/>
                <w:lang w:val="en-GB" w:eastAsia="en-US"/>
              </w:rPr>
              <w:t>Floating</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China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Hainan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CNOOC, Hainan Development Holding Co.</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China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Qingdao</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Sinopec</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Colombia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Puerto Bahia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N/A</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val="en-GB" w:eastAsia="en-US"/>
              </w:rPr>
              <w:t>Exmar</w:t>
            </w:r>
            <w:proofErr w:type="spellEnd"/>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India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Dahej LNG (Second Expansion Phase 1)</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Petronet LNG</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India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Kochi LNG Phase 2</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Petronet LNG</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Indonesia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Lampung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Pertamina, PGN</w:t>
            </w:r>
          </w:p>
        </w:tc>
        <w:tc>
          <w:tcPr>
            <w:tcW w:w="900" w:type="dxa"/>
            <w:vAlign w:val="center"/>
          </w:tcPr>
          <w:p w:rsidR="00DF692D" w:rsidRDefault="00DF692D" w:rsidP="009E2AB2">
            <w:r>
              <w:rPr>
                <w:rFonts w:eastAsia="Times New Roman" w:cs="Arial"/>
                <w:color w:val="141313"/>
                <w:sz w:val="16"/>
                <w:szCs w:val="16"/>
                <w:lang w:val="en-GB" w:eastAsia="en-US"/>
              </w:rPr>
              <w:t>Floating</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Japan</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Hibiki</w:t>
            </w:r>
            <w:proofErr w:type="spellEnd"/>
            <w:r w:rsidRPr="002F7E46">
              <w:rPr>
                <w:rFonts w:eastAsia="Times New Roman" w:cs="Arial"/>
                <w:color w:val="141313"/>
                <w:sz w:val="16"/>
                <w:szCs w:val="16"/>
                <w:lang w:eastAsia="en-US"/>
              </w:rPr>
              <w:t xml:space="preserve">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Saibu Gas, Kyushu Electric</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Japan</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Naoetsu</w:t>
            </w:r>
            <w:proofErr w:type="spellEnd"/>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1.5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INPEX</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Lithuania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Pr>
                <w:rFonts w:eastAsia="Times New Roman" w:cs="Arial"/>
                <w:color w:val="141313"/>
                <w:sz w:val="16"/>
                <w:szCs w:val="16"/>
                <w:lang w:eastAsia="en-US"/>
              </w:rPr>
              <w:t>Klaipeda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2.2</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val="en-GB" w:eastAsia="en-US"/>
              </w:rPr>
              <w:t>Klaipedos</w:t>
            </w:r>
            <w:proofErr w:type="spellEnd"/>
            <w:r w:rsidRPr="002F7E46">
              <w:rPr>
                <w:rFonts w:eastAsia="Times New Roman" w:cs="Arial"/>
                <w:color w:val="141313"/>
                <w:sz w:val="16"/>
                <w:szCs w:val="16"/>
                <w:lang w:val="en-GB" w:eastAsia="en-US"/>
              </w:rPr>
              <w:t xml:space="preserve"> </w:t>
            </w:r>
            <w:proofErr w:type="spellStart"/>
            <w:r w:rsidRPr="002F7E46">
              <w:rPr>
                <w:rFonts w:eastAsia="Times New Roman" w:cs="Arial"/>
                <w:color w:val="141313"/>
                <w:sz w:val="16"/>
                <w:szCs w:val="16"/>
                <w:lang w:val="en-GB" w:eastAsia="en-US"/>
              </w:rPr>
              <w:t>Nafta</w:t>
            </w:r>
            <w:proofErr w:type="spellEnd"/>
          </w:p>
        </w:tc>
        <w:tc>
          <w:tcPr>
            <w:tcW w:w="900" w:type="dxa"/>
            <w:vAlign w:val="center"/>
          </w:tcPr>
          <w:p w:rsidR="00DF692D" w:rsidRDefault="00DF692D" w:rsidP="009E2AB2">
            <w:r>
              <w:rPr>
                <w:rFonts w:eastAsia="Times New Roman" w:cs="Arial"/>
                <w:color w:val="141313"/>
                <w:sz w:val="16"/>
                <w:szCs w:val="16"/>
                <w:lang w:val="en-GB" w:eastAsia="en-US"/>
              </w:rPr>
              <w:t>Floating</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Poland</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Swinoujscie</w:t>
            </w:r>
            <w:proofErr w:type="spellEnd"/>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3.6</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GAZ-SYSTEM SA</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Singapore</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Jurong</w:t>
            </w:r>
            <w:proofErr w:type="spellEnd"/>
            <w:r w:rsidRPr="002F7E46">
              <w:rPr>
                <w:rFonts w:eastAsia="Times New Roman" w:cs="Arial"/>
                <w:color w:val="141313"/>
                <w:sz w:val="16"/>
                <w:szCs w:val="16"/>
                <w:lang w:eastAsia="en-US"/>
              </w:rPr>
              <w:t xml:space="preserve"> Island LNG Phase 2</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Singapore Energy Market Authority</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Spain</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Bilbao (Expansion)</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2014</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2.6</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ENAGAS, EVE, RREEF Infrastructure</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Chile</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Pr>
                <w:rFonts w:eastAsia="Times New Roman" w:cs="Arial"/>
                <w:color w:val="141313"/>
                <w:sz w:val="16"/>
                <w:szCs w:val="16"/>
                <w:lang w:eastAsia="en-US"/>
              </w:rPr>
              <w:t>GasAtacama</w:t>
            </w:r>
            <w:proofErr w:type="spellEnd"/>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2015</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1.1</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val="en-GB" w:eastAsia="en-US"/>
              </w:rPr>
              <w:t>GasAtacama</w:t>
            </w:r>
            <w:proofErr w:type="spellEnd"/>
          </w:p>
        </w:tc>
        <w:tc>
          <w:tcPr>
            <w:tcW w:w="900" w:type="dxa"/>
            <w:vAlign w:val="center"/>
          </w:tcPr>
          <w:p w:rsidR="00DF692D" w:rsidRDefault="00DF692D" w:rsidP="009E2AB2">
            <w:r>
              <w:rPr>
                <w:rFonts w:eastAsia="Times New Roman" w:cs="Arial"/>
                <w:color w:val="141313"/>
                <w:sz w:val="16"/>
                <w:szCs w:val="16"/>
                <w:lang w:val="en-GB" w:eastAsia="en-US"/>
              </w:rPr>
              <w:t>Floating</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China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Beihai</w:t>
            </w:r>
            <w:proofErr w:type="spellEnd"/>
            <w:r w:rsidRPr="002F7E46">
              <w:rPr>
                <w:rFonts w:eastAsia="Times New Roman" w:cs="Arial"/>
                <w:color w:val="141313"/>
                <w:sz w:val="16"/>
                <w:szCs w:val="16"/>
                <w:lang w:eastAsia="en-US"/>
              </w:rPr>
              <w:t>, Guangxi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2015</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3</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Sinopec</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China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Shenzhen (</w:t>
            </w:r>
            <w:proofErr w:type="spellStart"/>
            <w:r w:rsidRPr="002F7E46">
              <w:rPr>
                <w:rFonts w:eastAsia="Times New Roman" w:cs="Arial"/>
                <w:color w:val="141313"/>
                <w:sz w:val="16"/>
                <w:szCs w:val="16"/>
                <w:lang w:eastAsia="en-US"/>
              </w:rPr>
              <w:t>Diefu</w:t>
            </w:r>
            <w:proofErr w:type="spellEnd"/>
            <w:r w:rsidRPr="002F7E46">
              <w:rPr>
                <w:rFonts w:eastAsia="Times New Roman" w:cs="Arial"/>
                <w:color w:val="141313"/>
                <w:sz w:val="16"/>
                <w:szCs w:val="16"/>
                <w:lang w:eastAsia="en-US"/>
              </w:rPr>
              <w:t>)</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2015</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4</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CNOOC, Shenzhen Energy Group</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France</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Dunkirk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2015</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9.5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 xml:space="preserve">EDF, </w:t>
            </w:r>
            <w:proofErr w:type="spellStart"/>
            <w:r w:rsidRPr="002F7E46">
              <w:rPr>
                <w:rFonts w:eastAsia="Times New Roman" w:cs="Arial"/>
                <w:color w:val="141313"/>
                <w:sz w:val="16"/>
                <w:szCs w:val="16"/>
                <w:lang w:val="en-GB" w:eastAsia="en-US"/>
              </w:rPr>
              <w:t>Fluxys</w:t>
            </w:r>
            <w:proofErr w:type="spellEnd"/>
            <w:r w:rsidRPr="002F7E46">
              <w:rPr>
                <w:rFonts w:eastAsia="Times New Roman" w:cs="Arial"/>
                <w:color w:val="141313"/>
                <w:sz w:val="16"/>
                <w:szCs w:val="16"/>
                <w:lang w:val="en-GB" w:eastAsia="en-US"/>
              </w:rPr>
              <w:t>, TOTAL</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Japan</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Hachinohe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2015</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1.5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JX Nippon Oil &amp; Energy</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Japan</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Kushiro LNG</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2015</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0.5</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JX Nippon Oil &amp; Energy</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10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Korea</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proofErr w:type="spellStart"/>
            <w:r w:rsidRPr="002F7E46">
              <w:rPr>
                <w:rFonts w:eastAsia="Times New Roman" w:cs="Arial"/>
                <w:color w:val="141313"/>
                <w:sz w:val="16"/>
                <w:szCs w:val="16"/>
                <w:lang w:eastAsia="en-US"/>
              </w:rPr>
              <w:t>Samcheok</w:t>
            </w:r>
            <w:proofErr w:type="spellEnd"/>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2015</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6.8</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KOGAS</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r w:rsidR="00DF692D" w:rsidRPr="002F7E46" w:rsidTr="009E2AB2">
        <w:trPr>
          <w:cnfStyle w:val="000000010000"/>
          <w:trHeight w:val="315"/>
        </w:trPr>
        <w:tc>
          <w:tcPr>
            <w:tcW w:w="1098"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Japan</w:t>
            </w:r>
          </w:p>
        </w:tc>
        <w:tc>
          <w:tcPr>
            <w:tcW w:w="333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Hitachi</w:t>
            </w:r>
          </w:p>
        </w:tc>
        <w:tc>
          <w:tcPr>
            <w:tcW w:w="810"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2016</w:t>
            </w:r>
          </w:p>
        </w:tc>
        <w:tc>
          <w:tcPr>
            <w:tcW w:w="1026" w:type="dxa"/>
            <w:noWrap/>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eastAsia="en-US"/>
              </w:rPr>
              <w:t>N/A</w:t>
            </w:r>
          </w:p>
        </w:tc>
        <w:tc>
          <w:tcPr>
            <w:tcW w:w="2934" w:type="dxa"/>
            <w:vAlign w:val="center"/>
            <w:hideMark/>
          </w:tcPr>
          <w:p w:rsidR="00DF692D" w:rsidRPr="002F7E46" w:rsidRDefault="00DF692D" w:rsidP="009E2AB2">
            <w:pPr>
              <w:widowControl/>
              <w:rPr>
                <w:rFonts w:eastAsia="Times New Roman" w:cs="Arial"/>
                <w:color w:val="141313"/>
                <w:sz w:val="16"/>
                <w:szCs w:val="16"/>
                <w:lang w:eastAsia="en-US"/>
              </w:rPr>
            </w:pPr>
            <w:r w:rsidRPr="002F7E46">
              <w:rPr>
                <w:rFonts w:eastAsia="Times New Roman" w:cs="Arial"/>
                <w:color w:val="141313"/>
                <w:sz w:val="16"/>
                <w:szCs w:val="16"/>
                <w:lang w:val="en-GB" w:eastAsia="en-US"/>
              </w:rPr>
              <w:t>Tokyo Gas</w:t>
            </w:r>
          </w:p>
        </w:tc>
        <w:tc>
          <w:tcPr>
            <w:tcW w:w="900" w:type="dxa"/>
            <w:vAlign w:val="center"/>
          </w:tcPr>
          <w:p w:rsidR="00DF692D" w:rsidRDefault="00DF692D" w:rsidP="009E2AB2">
            <w:r w:rsidRPr="002F231C">
              <w:rPr>
                <w:rFonts w:eastAsia="Times New Roman" w:cs="Arial"/>
                <w:color w:val="141313"/>
                <w:sz w:val="16"/>
                <w:szCs w:val="16"/>
                <w:lang w:val="en-GB" w:eastAsia="en-US"/>
              </w:rPr>
              <w:t>Onshore</w:t>
            </w:r>
          </w:p>
        </w:tc>
      </w:tr>
    </w:tbl>
    <w:p w:rsidR="00DF692D" w:rsidRPr="00062BA1" w:rsidRDefault="00DF692D" w:rsidP="00DF692D">
      <w:pPr>
        <w:framePr w:hSpace="180" w:wrap="around" w:vAnchor="text" w:hAnchor="margin" w:y="1"/>
        <w:spacing w:after="120"/>
        <w:jc w:val="both"/>
        <w:rPr>
          <w:i/>
          <w:color w:val="141313" w:themeColor="text1"/>
          <w:sz w:val="16"/>
          <w:szCs w:val="16"/>
          <w:lang w:val="en-GB"/>
        </w:rPr>
      </w:pPr>
      <w:r w:rsidRPr="00062BA1">
        <w:rPr>
          <w:i/>
          <w:color w:val="141313" w:themeColor="text1"/>
          <w:sz w:val="16"/>
          <w:szCs w:val="16"/>
          <w:lang w:val="en-GB"/>
        </w:rPr>
        <w:t>Source: PFC Energy Global LNG Service, Company Announcements</w:t>
      </w:r>
    </w:p>
    <w:p w:rsidR="00DF692D" w:rsidRDefault="00DF692D" w:rsidP="00DF692D">
      <w:pPr>
        <w:framePr w:hSpace="180" w:wrap="around" w:vAnchor="text" w:hAnchor="margin" w:y="1"/>
        <w:spacing w:after="120"/>
        <w:jc w:val="both"/>
        <w:rPr>
          <w:i/>
          <w:color w:val="141313" w:themeColor="text1"/>
          <w:sz w:val="16"/>
          <w:szCs w:val="16"/>
          <w:lang w:val="en-GB"/>
        </w:rPr>
      </w:pPr>
      <w:r w:rsidRPr="00062BA1">
        <w:rPr>
          <w:i/>
          <w:color w:val="141313" w:themeColor="text1"/>
          <w:sz w:val="16"/>
          <w:szCs w:val="16"/>
          <w:lang w:val="en-GB"/>
        </w:rPr>
        <w:t>* Companies are listed by size of ownership stake, starting with the largest stake</w:t>
      </w:r>
    </w:p>
    <w:p w:rsidR="00DF692D" w:rsidRPr="00062BA1" w:rsidRDefault="00DF692D" w:rsidP="00DF692D">
      <w:pPr>
        <w:framePr w:hSpace="180" w:wrap="around" w:vAnchor="text" w:hAnchor="margin" w:y="1"/>
        <w:spacing w:after="120"/>
        <w:jc w:val="both"/>
        <w:rPr>
          <w:i/>
          <w:color w:val="141313" w:themeColor="text1"/>
          <w:sz w:val="16"/>
          <w:szCs w:val="16"/>
          <w:lang w:val="en-GB"/>
        </w:rPr>
      </w:pPr>
      <w:r>
        <w:rPr>
          <w:i/>
          <w:color w:val="141313" w:themeColor="text1"/>
          <w:sz w:val="16"/>
          <w:szCs w:val="16"/>
          <w:lang w:val="en-GB"/>
        </w:rPr>
        <w:t xml:space="preserve">**Malaysia’s </w:t>
      </w:r>
      <w:proofErr w:type="spellStart"/>
      <w:r>
        <w:rPr>
          <w:i/>
          <w:color w:val="141313" w:themeColor="text1"/>
          <w:sz w:val="16"/>
          <w:szCs w:val="16"/>
          <w:lang w:val="en-GB"/>
        </w:rPr>
        <w:t>Lekas</w:t>
      </w:r>
      <w:proofErr w:type="spellEnd"/>
      <w:r>
        <w:rPr>
          <w:i/>
          <w:color w:val="141313" w:themeColor="text1"/>
          <w:sz w:val="16"/>
          <w:szCs w:val="16"/>
          <w:lang w:val="en-GB"/>
        </w:rPr>
        <w:t xml:space="preserve"> LNG terminal is commissioning.</w:t>
      </w:r>
    </w:p>
    <w:p w:rsidR="00733532" w:rsidRDefault="00733532" w:rsidP="00733532">
      <w:pPr>
        <w:spacing w:line="252" w:lineRule="auto"/>
        <w:ind w:left="180"/>
        <w:jc w:val="both"/>
        <w:rPr>
          <w:sz w:val="18"/>
          <w:lang w:val="en-GB"/>
        </w:rPr>
      </w:pPr>
    </w:p>
    <w:p w:rsidR="00AE1334" w:rsidRDefault="00AE1334">
      <w:pPr>
        <w:widowControl/>
        <w:rPr>
          <w:sz w:val="18"/>
          <w:lang w:val="en-GB"/>
        </w:rPr>
      </w:pPr>
      <w:r>
        <w:rPr>
          <w:sz w:val="18"/>
          <w:lang w:val="en-GB"/>
        </w:rPr>
        <w:br w:type="page"/>
      </w:r>
    </w:p>
    <w:p w:rsidR="00AE1334" w:rsidRPr="00AE1334" w:rsidRDefault="00AE1334" w:rsidP="00AE1334">
      <w:pPr>
        <w:pStyle w:val="Titre1"/>
      </w:pPr>
      <w:bookmarkStart w:id="54" w:name="_Toc322870686"/>
      <w:bookmarkStart w:id="55" w:name="_Toc360628275"/>
      <w:r w:rsidRPr="00AE1334">
        <w:lastRenderedPageBreak/>
        <w:t>Sources</w:t>
      </w:r>
      <w:bookmarkEnd w:id="54"/>
      <w:bookmarkEnd w:id="55"/>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Bloomberg</w:t>
      </w:r>
    </w:p>
    <w:p w:rsidR="00AE1334" w:rsidRPr="002F4AC2" w:rsidRDefault="00AE1334" w:rsidP="00AE1334">
      <w:pPr>
        <w:spacing w:line="252" w:lineRule="auto"/>
        <w:ind w:left="950"/>
        <w:rPr>
          <w:sz w:val="22"/>
          <w:szCs w:val="22"/>
          <w:lang w:val="en-GB"/>
        </w:rPr>
      </w:pPr>
    </w:p>
    <w:p w:rsidR="00AE1334" w:rsidRPr="002F4AC2" w:rsidRDefault="00AE1334" w:rsidP="00AE1334">
      <w:pPr>
        <w:numPr>
          <w:ilvl w:val="0"/>
          <w:numId w:val="12"/>
        </w:numPr>
        <w:spacing w:line="252" w:lineRule="auto"/>
        <w:ind w:left="950"/>
        <w:rPr>
          <w:sz w:val="22"/>
          <w:szCs w:val="22"/>
          <w:lang w:val="en-GB"/>
        </w:rPr>
      </w:pPr>
      <w:proofErr w:type="spellStart"/>
      <w:r w:rsidRPr="002F4AC2">
        <w:rPr>
          <w:sz w:val="22"/>
          <w:szCs w:val="22"/>
          <w:lang w:val="en-GB"/>
        </w:rPr>
        <w:t>Cedigaz</w:t>
      </w:r>
      <w:proofErr w:type="spellEnd"/>
    </w:p>
    <w:p w:rsidR="00AE1334" w:rsidRPr="002F4AC2" w:rsidRDefault="00AE1334" w:rsidP="00AE1334">
      <w:pPr>
        <w:spacing w:line="252" w:lineRule="auto"/>
        <w:ind w:left="950"/>
        <w:rPr>
          <w:sz w:val="22"/>
          <w:szCs w:val="22"/>
          <w:lang w:val="en-GB"/>
        </w:rPr>
      </w:pPr>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Company reports and announcements</w:t>
      </w:r>
    </w:p>
    <w:p w:rsidR="00AE1334" w:rsidRPr="002F4AC2" w:rsidRDefault="00AE1334" w:rsidP="00AE1334">
      <w:pPr>
        <w:pStyle w:val="Paragraphedeliste"/>
        <w:rPr>
          <w:sz w:val="22"/>
          <w:szCs w:val="22"/>
          <w:lang w:val="en-GB"/>
        </w:rPr>
      </w:pPr>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German Federal Office of Economics and Export Control (BAFA)</w:t>
      </w:r>
    </w:p>
    <w:p w:rsidR="00AE1334" w:rsidRPr="002F4AC2" w:rsidRDefault="00AE1334" w:rsidP="00AE1334">
      <w:pPr>
        <w:pStyle w:val="Paragraphedeliste"/>
        <w:rPr>
          <w:sz w:val="22"/>
          <w:szCs w:val="22"/>
          <w:lang w:val="en-GB"/>
        </w:rPr>
      </w:pPr>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International Group of Liquefied Natural Gas Importers (GIIGNL)</w:t>
      </w:r>
    </w:p>
    <w:p w:rsidR="00AE1334" w:rsidRPr="002F4AC2" w:rsidRDefault="00AE1334" w:rsidP="00AE1334">
      <w:pPr>
        <w:pStyle w:val="Paragraphedeliste"/>
        <w:rPr>
          <w:sz w:val="22"/>
          <w:szCs w:val="22"/>
          <w:lang w:val="en-GB"/>
        </w:rPr>
      </w:pPr>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Japanese Ministry of Finance</w:t>
      </w:r>
    </w:p>
    <w:p w:rsidR="00AE1334" w:rsidRPr="002F4AC2" w:rsidRDefault="00AE1334" w:rsidP="00AE1334">
      <w:pPr>
        <w:pStyle w:val="Paragraphedeliste"/>
        <w:rPr>
          <w:sz w:val="22"/>
          <w:szCs w:val="22"/>
          <w:lang w:val="en-GB"/>
        </w:rPr>
      </w:pPr>
    </w:p>
    <w:p w:rsidR="00AE1334" w:rsidRPr="002F4AC2" w:rsidRDefault="00AE1334" w:rsidP="00AE1334">
      <w:pPr>
        <w:numPr>
          <w:ilvl w:val="0"/>
          <w:numId w:val="12"/>
        </w:numPr>
        <w:spacing w:line="252" w:lineRule="auto"/>
        <w:ind w:left="950"/>
        <w:rPr>
          <w:sz w:val="22"/>
          <w:szCs w:val="22"/>
          <w:lang w:val="en-GB"/>
        </w:rPr>
      </w:pPr>
      <w:r>
        <w:rPr>
          <w:sz w:val="22"/>
          <w:szCs w:val="22"/>
          <w:lang w:val="en-GB"/>
        </w:rPr>
        <w:t xml:space="preserve">PFC Energy </w:t>
      </w:r>
      <w:r w:rsidRPr="002F4AC2">
        <w:rPr>
          <w:sz w:val="22"/>
          <w:szCs w:val="22"/>
          <w:lang w:val="en-GB"/>
        </w:rPr>
        <w:t xml:space="preserve">(including </w:t>
      </w:r>
      <w:r w:rsidR="000C270F">
        <w:rPr>
          <w:sz w:val="22"/>
          <w:szCs w:val="22"/>
          <w:lang w:val="en-GB"/>
        </w:rPr>
        <w:t xml:space="preserve">PFC Energy Global LNG Service, </w:t>
      </w:r>
      <w:r>
        <w:rPr>
          <w:sz w:val="22"/>
          <w:szCs w:val="22"/>
          <w:lang w:val="en-GB"/>
        </w:rPr>
        <w:t>PFC Energy Gas Markets Service</w:t>
      </w:r>
      <w:r w:rsidR="000C270F">
        <w:rPr>
          <w:sz w:val="22"/>
          <w:szCs w:val="22"/>
          <w:lang w:val="en-GB"/>
        </w:rPr>
        <w:t>, and PFC Energy North America Onshore Service</w:t>
      </w:r>
      <w:r w:rsidRPr="002F4AC2">
        <w:rPr>
          <w:sz w:val="22"/>
          <w:szCs w:val="22"/>
          <w:lang w:val="en-GB"/>
        </w:rPr>
        <w:t>)</w:t>
      </w:r>
    </w:p>
    <w:p w:rsidR="00AE1334" w:rsidRPr="002F4AC2" w:rsidRDefault="00AE1334" w:rsidP="00AE1334">
      <w:pPr>
        <w:ind w:left="180"/>
        <w:rPr>
          <w:color w:val="FF0000"/>
          <w:sz w:val="22"/>
          <w:szCs w:val="22"/>
          <w:lang w:val="en-GB"/>
        </w:rPr>
      </w:pPr>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 xml:space="preserve">United States Energy Information Agency (EIA) </w:t>
      </w:r>
    </w:p>
    <w:p w:rsidR="00AE1334" w:rsidRPr="002F4AC2" w:rsidRDefault="00AE1334" w:rsidP="00AE1334">
      <w:pPr>
        <w:pStyle w:val="Paragraphedeliste"/>
        <w:rPr>
          <w:sz w:val="22"/>
          <w:szCs w:val="22"/>
          <w:lang w:val="en-GB"/>
        </w:rPr>
      </w:pPr>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United States Department of Energy (DOE)</w:t>
      </w:r>
    </w:p>
    <w:p w:rsidR="00AE1334" w:rsidRPr="002F4AC2" w:rsidRDefault="00AE1334" w:rsidP="00AE1334">
      <w:pPr>
        <w:pStyle w:val="Paragraphedeliste"/>
        <w:rPr>
          <w:sz w:val="22"/>
          <w:szCs w:val="22"/>
          <w:lang w:val="en-GB"/>
        </w:rPr>
      </w:pPr>
    </w:p>
    <w:p w:rsidR="00AE1334" w:rsidRPr="002F4AC2" w:rsidRDefault="00AE1334" w:rsidP="00AE1334">
      <w:pPr>
        <w:numPr>
          <w:ilvl w:val="0"/>
          <w:numId w:val="12"/>
        </w:numPr>
        <w:spacing w:line="252" w:lineRule="auto"/>
        <w:ind w:left="950"/>
        <w:rPr>
          <w:sz w:val="22"/>
          <w:szCs w:val="22"/>
          <w:lang w:val="en-GB"/>
        </w:rPr>
      </w:pPr>
      <w:r w:rsidRPr="002F4AC2">
        <w:rPr>
          <w:sz w:val="22"/>
          <w:szCs w:val="22"/>
          <w:lang w:val="en-GB"/>
        </w:rPr>
        <w:t>Waterborne LNG Reports</w:t>
      </w:r>
    </w:p>
    <w:p w:rsidR="00AE1334" w:rsidRPr="00920068" w:rsidRDefault="00AE1334" w:rsidP="00AE1334">
      <w:pPr>
        <w:spacing w:line="252" w:lineRule="auto"/>
        <w:jc w:val="both"/>
        <w:rPr>
          <w:sz w:val="22"/>
          <w:szCs w:val="22"/>
          <w:lang w:val="en-GB"/>
        </w:rPr>
      </w:pPr>
    </w:p>
    <w:p w:rsidR="00AE1334" w:rsidRDefault="00AE1334" w:rsidP="00733532">
      <w:pPr>
        <w:spacing w:line="252" w:lineRule="auto"/>
        <w:ind w:left="180"/>
        <w:jc w:val="both"/>
        <w:rPr>
          <w:sz w:val="18"/>
          <w:lang w:val="en-GB"/>
        </w:rPr>
      </w:pPr>
    </w:p>
    <w:p w:rsidR="00AE1334" w:rsidRPr="006A3EA4" w:rsidRDefault="00AE1334" w:rsidP="00733532">
      <w:pPr>
        <w:spacing w:line="252" w:lineRule="auto"/>
        <w:ind w:left="180"/>
        <w:jc w:val="both"/>
        <w:rPr>
          <w:sz w:val="18"/>
          <w:lang w:val="en-GB"/>
        </w:rPr>
      </w:pPr>
    </w:p>
    <w:p w:rsidR="00D07E97" w:rsidRDefault="00D07E97">
      <w:pPr>
        <w:widowControl/>
        <w:rPr>
          <w:sz w:val="18"/>
          <w:lang w:val="en-GB"/>
        </w:rPr>
      </w:pPr>
      <w:r>
        <w:rPr>
          <w:sz w:val="18"/>
          <w:lang w:val="en-GB"/>
        </w:rPr>
        <w:br w:type="page"/>
      </w:r>
    </w:p>
    <w:p w:rsidR="00D07E97" w:rsidRDefault="00D07E97" w:rsidP="00D07E97">
      <w:pPr>
        <w:pStyle w:val="Titre1"/>
      </w:pPr>
      <w:bookmarkStart w:id="56" w:name="_Toc360628276"/>
      <w:r>
        <w:lastRenderedPageBreak/>
        <w:t>Acknowledgment</w:t>
      </w:r>
      <w:bookmarkEnd w:id="56"/>
      <w:r>
        <w:t xml:space="preserve"> </w:t>
      </w:r>
    </w:p>
    <w:p w:rsidR="00C83A8E" w:rsidRPr="00C83A8E" w:rsidRDefault="00C83A8E" w:rsidP="00C83A8E">
      <w:pPr>
        <w:jc w:val="both"/>
        <w:rPr>
          <w:sz w:val="22"/>
          <w:szCs w:val="22"/>
        </w:rPr>
      </w:pPr>
      <w:r w:rsidRPr="00C83A8E">
        <w:rPr>
          <w:sz w:val="22"/>
          <w:szCs w:val="22"/>
        </w:rPr>
        <w:t xml:space="preserve">The IGU wishes to thank the following </w:t>
      </w:r>
      <w:r w:rsidR="00010D5E" w:rsidRPr="00C83A8E">
        <w:rPr>
          <w:sz w:val="22"/>
          <w:szCs w:val="22"/>
        </w:rPr>
        <w:t>organizations</w:t>
      </w:r>
      <w:r w:rsidRPr="00C83A8E">
        <w:rPr>
          <w:sz w:val="22"/>
          <w:szCs w:val="22"/>
        </w:rPr>
        <w:t xml:space="preserve"> for providing their expert staff to be a member of</w:t>
      </w:r>
      <w:r>
        <w:rPr>
          <w:sz w:val="22"/>
          <w:szCs w:val="22"/>
        </w:rPr>
        <w:t xml:space="preserve"> </w:t>
      </w:r>
      <w:r w:rsidRPr="00C83A8E">
        <w:rPr>
          <w:sz w:val="22"/>
          <w:szCs w:val="22"/>
        </w:rPr>
        <w:t>the Task Force which has been entrusted to oversee the preparation and publication of this report:</w:t>
      </w:r>
    </w:p>
    <w:p w:rsidR="00C83A8E" w:rsidRPr="00C83A8E" w:rsidRDefault="00C83A8E" w:rsidP="00C83A8E"/>
    <w:p w:rsidR="00D07E97" w:rsidRDefault="00D07E97" w:rsidP="00D07E97">
      <w:pPr>
        <w:numPr>
          <w:ilvl w:val="0"/>
          <w:numId w:val="49"/>
        </w:numPr>
        <w:spacing w:line="252" w:lineRule="auto"/>
        <w:ind w:left="950"/>
        <w:rPr>
          <w:sz w:val="22"/>
          <w:szCs w:val="22"/>
          <w:lang w:val="en-GB"/>
        </w:rPr>
      </w:pPr>
      <w:r>
        <w:rPr>
          <w:sz w:val="22"/>
          <w:szCs w:val="22"/>
          <w:lang w:val="en-GB"/>
        </w:rPr>
        <w:t>TOTAL</w:t>
      </w:r>
      <w:r w:rsidRPr="00D07E97">
        <w:rPr>
          <w:sz w:val="22"/>
          <w:szCs w:val="22"/>
          <w:lang w:val="en-GB"/>
        </w:rPr>
        <w:t xml:space="preserve"> , France   </w:t>
      </w:r>
    </w:p>
    <w:p w:rsidR="00D07E97" w:rsidRPr="00D07E97" w:rsidRDefault="00D07E97" w:rsidP="00D07E97">
      <w:pPr>
        <w:spacing w:line="252" w:lineRule="auto"/>
        <w:ind w:left="950"/>
        <w:rPr>
          <w:sz w:val="22"/>
          <w:szCs w:val="22"/>
          <w:lang w:val="en-GB"/>
        </w:rPr>
      </w:pPr>
      <w:r w:rsidRPr="00D07E97">
        <w:rPr>
          <w:sz w:val="22"/>
          <w:szCs w:val="22"/>
          <w:lang w:val="en-GB"/>
        </w:rPr>
        <w:t xml:space="preserve">                 </w:t>
      </w:r>
    </w:p>
    <w:p w:rsidR="00D07E97" w:rsidRDefault="00D07E97" w:rsidP="00D07E97">
      <w:pPr>
        <w:numPr>
          <w:ilvl w:val="0"/>
          <w:numId w:val="49"/>
        </w:numPr>
        <w:spacing w:line="252" w:lineRule="auto"/>
        <w:ind w:left="950"/>
        <w:rPr>
          <w:sz w:val="22"/>
          <w:szCs w:val="22"/>
          <w:lang w:val="en-GB"/>
        </w:rPr>
      </w:pPr>
      <w:proofErr w:type="spellStart"/>
      <w:r w:rsidRPr="00D07E97">
        <w:rPr>
          <w:sz w:val="22"/>
          <w:szCs w:val="22"/>
          <w:lang w:val="en-GB"/>
        </w:rPr>
        <w:t>Qatargas</w:t>
      </w:r>
      <w:proofErr w:type="spellEnd"/>
      <w:r w:rsidRPr="00D07E97">
        <w:rPr>
          <w:sz w:val="22"/>
          <w:szCs w:val="22"/>
          <w:lang w:val="en-GB"/>
        </w:rPr>
        <w:t>,  Qatar     </w:t>
      </w:r>
    </w:p>
    <w:p w:rsidR="00D07E97" w:rsidRPr="00D07E97" w:rsidRDefault="00D07E97" w:rsidP="00D07E97">
      <w:pPr>
        <w:spacing w:line="252" w:lineRule="auto"/>
        <w:rPr>
          <w:sz w:val="22"/>
          <w:szCs w:val="22"/>
          <w:lang w:val="en-GB"/>
        </w:rPr>
      </w:pPr>
      <w:r w:rsidRPr="00D07E97">
        <w:rPr>
          <w:sz w:val="22"/>
          <w:szCs w:val="22"/>
          <w:lang w:val="en-GB"/>
        </w:rPr>
        <w:t>                          </w:t>
      </w:r>
    </w:p>
    <w:p w:rsidR="00D07E97" w:rsidRDefault="00D07E97" w:rsidP="00D07E97">
      <w:pPr>
        <w:numPr>
          <w:ilvl w:val="0"/>
          <w:numId w:val="49"/>
        </w:numPr>
        <w:spacing w:line="252" w:lineRule="auto"/>
        <w:ind w:left="950"/>
        <w:rPr>
          <w:sz w:val="22"/>
          <w:szCs w:val="22"/>
          <w:lang w:val="en-GB"/>
        </w:rPr>
      </w:pPr>
      <w:r>
        <w:rPr>
          <w:sz w:val="22"/>
          <w:szCs w:val="22"/>
          <w:lang w:val="en-GB"/>
        </w:rPr>
        <w:t>American Gas Association (</w:t>
      </w:r>
      <w:r w:rsidRPr="00D07E97">
        <w:rPr>
          <w:sz w:val="22"/>
          <w:szCs w:val="22"/>
          <w:lang w:val="en-GB"/>
        </w:rPr>
        <w:t>AGA</w:t>
      </w:r>
      <w:r>
        <w:rPr>
          <w:sz w:val="22"/>
          <w:szCs w:val="22"/>
          <w:lang w:val="en-GB"/>
        </w:rPr>
        <w:t>)</w:t>
      </w:r>
      <w:r w:rsidRPr="00D07E97">
        <w:rPr>
          <w:sz w:val="22"/>
          <w:szCs w:val="22"/>
          <w:lang w:val="en-GB"/>
        </w:rPr>
        <w:t>, USA                </w:t>
      </w:r>
    </w:p>
    <w:p w:rsidR="00D07E97" w:rsidRPr="00D07E97" w:rsidRDefault="00D07E97" w:rsidP="00D07E97">
      <w:pPr>
        <w:spacing w:line="252" w:lineRule="auto"/>
        <w:rPr>
          <w:sz w:val="22"/>
          <w:szCs w:val="22"/>
          <w:lang w:val="en-GB"/>
        </w:rPr>
      </w:pPr>
      <w:r w:rsidRPr="00D07E97">
        <w:rPr>
          <w:sz w:val="22"/>
          <w:szCs w:val="22"/>
          <w:lang w:val="en-GB"/>
        </w:rPr>
        <w:t>            </w:t>
      </w:r>
    </w:p>
    <w:p w:rsidR="00D07E97" w:rsidRDefault="00D07E97" w:rsidP="00D07E97">
      <w:pPr>
        <w:numPr>
          <w:ilvl w:val="0"/>
          <w:numId w:val="49"/>
        </w:numPr>
        <w:spacing w:line="252" w:lineRule="auto"/>
        <w:ind w:left="950"/>
        <w:rPr>
          <w:sz w:val="22"/>
          <w:szCs w:val="22"/>
          <w:lang w:val="en-GB"/>
        </w:rPr>
      </w:pPr>
      <w:proofErr w:type="spellStart"/>
      <w:r w:rsidRPr="00D07E97">
        <w:rPr>
          <w:sz w:val="22"/>
          <w:szCs w:val="22"/>
          <w:lang w:val="en-GB"/>
        </w:rPr>
        <w:t>Vopak</w:t>
      </w:r>
      <w:proofErr w:type="spellEnd"/>
      <w:r w:rsidRPr="00D07E97">
        <w:rPr>
          <w:sz w:val="22"/>
          <w:szCs w:val="22"/>
          <w:lang w:val="en-GB"/>
        </w:rPr>
        <w:t>,  Netherlands</w:t>
      </w:r>
    </w:p>
    <w:p w:rsidR="00D07E97" w:rsidRPr="00D07E97" w:rsidRDefault="00D07E97" w:rsidP="00D07E97">
      <w:pPr>
        <w:spacing w:line="252" w:lineRule="auto"/>
        <w:rPr>
          <w:sz w:val="22"/>
          <w:szCs w:val="22"/>
          <w:lang w:val="en-GB"/>
        </w:rPr>
      </w:pPr>
    </w:p>
    <w:p w:rsidR="00D07E97" w:rsidRDefault="00D07E97" w:rsidP="00D07E97">
      <w:pPr>
        <w:numPr>
          <w:ilvl w:val="0"/>
          <w:numId w:val="49"/>
        </w:numPr>
        <w:spacing w:line="252" w:lineRule="auto"/>
        <w:ind w:left="950"/>
        <w:rPr>
          <w:sz w:val="22"/>
          <w:szCs w:val="22"/>
          <w:lang w:val="en-GB"/>
        </w:rPr>
      </w:pPr>
      <w:r>
        <w:rPr>
          <w:sz w:val="22"/>
          <w:szCs w:val="22"/>
          <w:lang w:val="en-GB"/>
        </w:rPr>
        <w:t>GIIGNL,  France         </w:t>
      </w:r>
    </w:p>
    <w:p w:rsidR="00D07E97" w:rsidRPr="00D07E97" w:rsidRDefault="00D07E97" w:rsidP="00D07E97">
      <w:pPr>
        <w:spacing w:line="252" w:lineRule="auto"/>
        <w:rPr>
          <w:sz w:val="22"/>
          <w:szCs w:val="22"/>
          <w:lang w:val="en-GB"/>
        </w:rPr>
      </w:pPr>
      <w:r w:rsidRPr="00D07E97">
        <w:rPr>
          <w:sz w:val="22"/>
          <w:szCs w:val="22"/>
          <w:lang w:val="en-GB"/>
        </w:rPr>
        <w:t xml:space="preserve">                     </w:t>
      </w:r>
    </w:p>
    <w:p w:rsidR="00D07E97" w:rsidRDefault="00D07E97" w:rsidP="00D07E97">
      <w:pPr>
        <w:numPr>
          <w:ilvl w:val="0"/>
          <w:numId w:val="49"/>
        </w:numPr>
        <w:spacing w:line="252" w:lineRule="auto"/>
        <w:ind w:left="950"/>
        <w:rPr>
          <w:sz w:val="22"/>
          <w:szCs w:val="22"/>
          <w:lang w:val="en-GB"/>
        </w:rPr>
      </w:pPr>
      <w:proofErr w:type="spellStart"/>
      <w:r w:rsidRPr="00D07E97">
        <w:rPr>
          <w:sz w:val="22"/>
          <w:szCs w:val="22"/>
          <w:lang w:val="en-GB"/>
        </w:rPr>
        <w:t>Dourog</w:t>
      </w:r>
      <w:r>
        <w:rPr>
          <w:sz w:val="22"/>
          <w:szCs w:val="22"/>
          <w:lang w:val="en-GB"/>
        </w:rPr>
        <w:t>á</w:t>
      </w:r>
      <w:r w:rsidRPr="00D07E97">
        <w:rPr>
          <w:sz w:val="22"/>
          <w:szCs w:val="22"/>
          <w:lang w:val="en-GB"/>
        </w:rPr>
        <w:t>s</w:t>
      </w:r>
      <w:proofErr w:type="spellEnd"/>
      <w:r w:rsidRPr="00D07E97">
        <w:rPr>
          <w:sz w:val="22"/>
          <w:szCs w:val="22"/>
          <w:lang w:val="en-GB"/>
        </w:rPr>
        <w:t>, Portugal           </w:t>
      </w:r>
    </w:p>
    <w:p w:rsidR="00D07E97" w:rsidRPr="00D07E97" w:rsidRDefault="00D07E97" w:rsidP="00D07E97">
      <w:pPr>
        <w:spacing w:line="252" w:lineRule="auto"/>
        <w:rPr>
          <w:sz w:val="22"/>
          <w:szCs w:val="22"/>
          <w:lang w:val="en-GB"/>
        </w:rPr>
      </w:pPr>
      <w:r w:rsidRPr="00D07E97">
        <w:rPr>
          <w:sz w:val="22"/>
          <w:szCs w:val="22"/>
          <w:lang w:val="en-GB"/>
        </w:rPr>
        <w:t xml:space="preserve">             </w:t>
      </w:r>
    </w:p>
    <w:p w:rsidR="00D07E97" w:rsidRDefault="00D07E97" w:rsidP="00D07E97">
      <w:pPr>
        <w:numPr>
          <w:ilvl w:val="0"/>
          <w:numId w:val="49"/>
        </w:numPr>
        <w:spacing w:line="252" w:lineRule="auto"/>
        <w:ind w:left="950"/>
        <w:rPr>
          <w:sz w:val="22"/>
          <w:szCs w:val="22"/>
          <w:lang w:val="en-GB"/>
        </w:rPr>
      </w:pPr>
      <w:r w:rsidRPr="00D07E97">
        <w:rPr>
          <w:sz w:val="22"/>
          <w:szCs w:val="22"/>
          <w:lang w:val="en-GB"/>
        </w:rPr>
        <w:t>Petrobras,  Br</w:t>
      </w:r>
      <w:r>
        <w:rPr>
          <w:sz w:val="22"/>
          <w:szCs w:val="22"/>
          <w:lang w:val="en-GB"/>
        </w:rPr>
        <w:t>a</w:t>
      </w:r>
      <w:r w:rsidR="00C83A8E">
        <w:rPr>
          <w:sz w:val="22"/>
          <w:szCs w:val="22"/>
          <w:lang w:val="en-GB"/>
        </w:rPr>
        <w:t>z</w:t>
      </w:r>
      <w:r w:rsidRPr="00D07E97">
        <w:rPr>
          <w:sz w:val="22"/>
          <w:szCs w:val="22"/>
          <w:lang w:val="en-GB"/>
        </w:rPr>
        <w:t xml:space="preserve">il             </w:t>
      </w:r>
    </w:p>
    <w:p w:rsidR="00D07E97" w:rsidRPr="00D07E97" w:rsidRDefault="00D07E97" w:rsidP="00D07E97">
      <w:pPr>
        <w:spacing w:line="252" w:lineRule="auto"/>
        <w:rPr>
          <w:sz w:val="22"/>
          <w:szCs w:val="22"/>
          <w:lang w:val="en-GB"/>
        </w:rPr>
      </w:pPr>
    </w:p>
    <w:p w:rsidR="0042488A" w:rsidRDefault="00D07E97" w:rsidP="00D07E97">
      <w:pPr>
        <w:numPr>
          <w:ilvl w:val="0"/>
          <w:numId w:val="49"/>
        </w:numPr>
        <w:spacing w:line="252" w:lineRule="auto"/>
        <w:ind w:left="950"/>
        <w:rPr>
          <w:sz w:val="22"/>
          <w:szCs w:val="22"/>
          <w:lang w:val="en-GB"/>
        </w:rPr>
        <w:sectPr w:rsidR="0042488A" w:rsidSect="00DF692D">
          <w:type w:val="continuous"/>
          <w:pgSz w:w="12240" w:h="15840" w:code="1"/>
          <w:pgMar w:top="1728" w:right="1080" w:bottom="1080" w:left="1008" w:header="720" w:footer="504" w:gutter="0"/>
          <w:cols w:space="432"/>
          <w:docGrid w:linePitch="272"/>
        </w:sectPr>
      </w:pPr>
      <w:proofErr w:type="spellStart"/>
      <w:r w:rsidRPr="00D07E97">
        <w:rPr>
          <w:sz w:val="22"/>
          <w:szCs w:val="22"/>
          <w:lang w:val="en-GB"/>
        </w:rPr>
        <w:t>Kogas</w:t>
      </w:r>
      <w:proofErr w:type="spellEnd"/>
      <w:r w:rsidRPr="00D07E97">
        <w:rPr>
          <w:sz w:val="22"/>
          <w:szCs w:val="22"/>
          <w:lang w:val="en-GB"/>
        </w:rPr>
        <w:t>, South Korea     </w:t>
      </w:r>
    </w:p>
    <w:p w:rsidR="0042488A" w:rsidRDefault="0042488A" w:rsidP="0042488A">
      <w:pPr>
        <w:spacing w:line="252" w:lineRule="auto"/>
        <w:rPr>
          <w:sz w:val="22"/>
          <w:szCs w:val="22"/>
          <w:lang w:val="en-GB"/>
        </w:rPr>
        <w:sectPr w:rsidR="0042488A" w:rsidSect="0042488A">
          <w:headerReference w:type="default" r:id="rId90"/>
          <w:pgSz w:w="12240" w:h="15840" w:code="1"/>
          <w:pgMar w:top="1728" w:right="1080" w:bottom="1080" w:left="1008" w:header="0" w:footer="0" w:gutter="0"/>
          <w:cols w:space="432"/>
          <w:docGrid w:linePitch="272"/>
        </w:sectPr>
      </w:pPr>
    </w:p>
    <w:p w:rsidR="00D07E97" w:rsidRPr="00D07E97" w:rsidRDefault="00D07E97" w:rsidP="0042488A">
      <w:pPr>
        <w:spacing w:line="252" w:lineRule="auto"/>
        <w:ind w:left="950"/>
        <w:rPr>
          <w:sz w:val="22"/>
          <w:szCs w:val="22"/>
          <w:lang w:val="en-GB"/>
        </w:rPr>
      </w:pPr>
      <w:r w:rsidRPr="00D07E97">
        <w:rPr>
          <w:sz w:val="22"/>
          <w:szCs w:val="22"/>
          <w:lang w:val="en-GB"/>
        </w:rPr>
        <w:lastRenderedPageBreak/>
        <w:t xml:space="preserve">  </w:t>
      </w:r>
    </w:p>
    <w:p w:rsidR="00497C62" w:rsidRDefault="001927D1" w:rsidP="001927D1">
      <w:pPr>
        <w:widowControl/>
        <w:tabs>
          <w:tab w:val="left" w:pos="2149"/>
        </w:tabs>
        <w:rPr>
          <w:sz w:val="18"/>
          <w:lang w:val="en-GB"/>
        </w:rPr>
      </w:pPr>
      <w:r>
        <w:rPr>
          <w:sz w:val="18"/>
          <w:lang w:val="en-GB"/>
        </w:rPr>
        <w:tab/>
      </w: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497C62" w:rsidRDefault="00497C62" w:rsidP="00733532">
      <w:pPr>
        <w:widowControl/>
        <w:rPr>
          <w:sz w:val="18"/>
          <w:lang w:val="en-GB"/>
        </w:rPr>
      </w:pPr>
    </w:p>
    <w:p w:rsidR="00733532" w:rsidRPr="00EA06E9" w:rsidRDefault="00733532" w:rsidP="00497C62">
      <w:pPr>
        <w:widowControl/>
        <w:jc w:val="right"/>
        <w:rPr>
          <w:sz w:val="18"/>
          <w:lang w:val="en-GB"/>
        </w:rPr>
      </w:pPr>
    </w:p>
    <w:sectPr w:rsidR="00733532" w:rsidRPr="00EA06E9" w:rsidSect="001927D1">
      <w:headerReference w:type="default" r:id="rId91"/>
      <w:pgSz w:w="12240" w:h="15840" w:code="1"/>
      <w:pgMar w:top="0" w:right="0" w:bottom="0" w:left="0" w:header="0" w:footer="0" w:gutter="0"/>
      <w:cols w:space="432"/>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4846" w:rsidRDefault="00474846">
      <w:r>
        <w:separator/>
      </w:r>
    </w:p>
  </w:endnote>
  <w:endnote w:type="continuationSeparator" w:id="0">
    <w:p w:rsidR="00474846" w:rsidRDefault="0047484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IQE Hlv">
    <w:charset w:val="00"/>
    <w:family w:val="auto"/>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BatangChe">
    <w:panose1 w:val="02030609000101010101"/>
    <w:charset w:val="81"/>
    <w:family w:val="modern"/>
    <w:pitch w:val="fixed"/>
    <w:sig w:usb0="B00002AF" w:usb1="69D77CFB" w:usb2="00000030" w:usb3="00000000" w:csb0="0008009F" w:csb1="00000000"/>
  </w:font>
  <w:font w:name="TimesNewRomanPS-ItalicMT">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4846" w:rsidRDefault="00474846">
      <w:r>
        <w:separator/>
      </w:r>
    </w:p>
  </w:footnote>
  <w:footnote w:type="continuationSeparator" w:id="0">
    <w:p w:rsidR="00474846" w:rsidRDefault="00474846">
      <w:r>
        <w:continuationSeparator/>
      </w:r>
    </w:p>
  </w:footnote>
  <w:footnote w:id="1">
    <w:p w:rsidR="00856114" w:rsidRDefault="00856114" w:rsidP="00B471CB">
      <w:pPr>
        <w:pStyle w:val="Notedebasdepage"/>
        <w:jc w:val="both"/>
      </w:pPr>
      <w:r>
        <w:rPr>
          <w:rStyle w:val="Appelnotedebasdep"/>
        </w:rPr>
        <w:footnoteRef/>
      </w:r>
      <w:r>
        <w:t xml:space="preserve"> The spot and short-term market here includes cargoes not supported by a long-term (5+</w:t>
      </w:r>
      <w:r w:rsidRPr="00857EAA">
        <w:t xml:space="preserve"> years</w:t>
      </w:r>
      <w:r>
        <w:t>)</w:t>
      </w:r>
      <w:r w:rsidRPr="00857EAA">
        <w:t xml:space="preserve"> SPA</w:t>
      </w:r>
      <w:r>
        <w:t xml:space="preserve">, cargoes diverted from their original or announced destination, and cargoes over and above take-or-pay commitments (upward flexibility). </w:t>
      </w:r>
    </w:p>
  </w:footnote>
  <w:footnote w:id="2">
    <w:p w:rsidR="00856114" w:rsidRPr="0060385A" w:rsidRDefault="00856114" w:rsidP="00766BE0">
      <w:pPr>
        <w:pStyle w:val="Notedebasdepage"/>
      </w:pPr>
      <w:r w:rsidRPr="0060385A">
        <w:rPr>
          <w:rStyle w:val="Appelnotedebasdep"/>
        </w:rPr>
        <w:footnoteRef/>
      </w:r>
      <w:r w:rsidRPr="0060385A">
        <w:t xml:space="preserve"> The 0.7 MTPA </w:t>
      </w:r>
      <w:proofErr w:type="spellStart"/>
      <w:r w:rsidRPr="0060385A">
        <w:t>Marsa</w:t>
      </w:r>
      <w:proofErr w:type="spellEnd"/>
      <w:r w:rsidRPr="0060385A">
        <w:t xml:space="preserve"> El </w:t>
      </w:r>
      <w:proofErr w:type="spellStart"/>
      <w:r w:rsidRPr="0060385A">
        <w:t>Brega</w:t>
      </w:r>
      <w:proofErr w:type="spellEnd"/>
      <w:r w:rsidRPr="0060385A">
        <w:t xml:space="preserve"> plant is considered decommissioned after suffering substantial damage in the country’s 2011 civil war).</w:t>
      </w:r>
    </w:p>
  </w:footnote>
  <w:footnote w:id="3">
    <w:p w:rsidR="00856114" w:rsidRPr="0060385A" w:rsidRDefault="00856114" w:rsidP="00766BE0">
      <w:pPr>
        <w:pStyle w:val="Notedebasdepage"/>
      </w:pPr>
      <w:r w:rsidRPr="0060385A">
        <w:rPr>
          <w:rStyle w:val="Appelnotedebasdep"/>
        </w:rPr>
        <w:footnoteRef/>
      </w:r>
      <w:r w:rsidRPr="0060385A">
        <w:t xml:space="preserve"> </w:t>
      </w:r>
      <w:proofErr w:type="gramStart"/>
      <w:r w:rsidRPr="0060385A">
        <w:t>Front-End Engineering and Design.</w:t>
      </w:r>
      <w:proofErr w:type="gramEnd"/>
    </w:p>
  </w:footnote>
  <w:footnote w:id="4">
    <w:p w:rsidR="00856114" w:rsidRDefault="00856114" w:rsidP="00350FA9">
      <w:pPr>
        <w:pStyle w:val="Notedebasdepage"/>
      </w:pPr>
      <w:r>
        <w:rPr>
          <w:rStyle w:val="Appelnotedebasdep"/>
        </w:rPr>
        <w:footnoteRef/>
      </w:r>
      <w:r>
        <w:t xml:space="preserve"> Final Investment Decision</w:t>
      </w:r>
    </w:p>
  </w:footnote>
  <w:footnote w:id="5">
    <w:p w:rsidR="00856114" w:rsidRPr="0060385A" w:rsidRDefault="00856114" w:rsidP="00766BE0">
      <w:pPr>
        <w:pStyle w:val="Notedebasdepage"/>
      </w:pPr>
      <w:r w:rsidRPr="0060385A">
        <w:rPr>
          <w:rStyle w:val="Appelnotedebasdep"/>
        </w:rPr>
        <w:footnoteRef/>
      </w:r>
      <w:r w:rsidRPr="0060385A">
        <w:t xml:space="preserve"> Note: Throughout the document, liquefaction capacity refers to nominal capacity.</w:t>
      </w:r>
    </w:p>
  </w:footnote>
  <w:footnote w:id="6">
    <w:p w:rsidR="00856114" w:rsidRDefault="00856114" w:rsidP="00B471CB">
      <w:pPr>
        <w:pStyle w:val="Notedebasdepage"/>
        <w:jc w:val="both"/>
      </w:pPr>
      <w:r w:rsidRPr="0060385A">
        <w:rPr>
          <w:rStyle w:val="Appelnotedebasdep"/>
        </w:rPr>
        <w:footnoteRef/>
      </w:r>
      <w:r w:rsidRPr="0060385A">
        <w:t xml:space="preserve"> Forecast for LNG capacity to 2016 are calculated based on start dates for sanctioned projects only.  As of May 2013, all sanctioned liquefaction projects had begun construction.  Planned decommissioning of plants</w:t>
      </w:r>
      <w:r w:rsidRPr="00DF09FA">
        <w:t xml:space="preserve"> in Alaska, Algeria, and Indonesia are also included.</w:t>
      </w:r>
    </w:p>
  </w:footnote>
  <w:footnote w:id="7">
    <w:p w:rsidR="00856114" w:rsidRPr="003F7BAC" w:rsidRDefault="00856114" w:rsidP="003F7BAC">
      <w:pPr>
        <w:pStyle w:val="Notedebasdepage"/>
        <w:jc w:val="both"/>
      </w:pPr>
      <w:r w:rsidRPr="003F7BAC">
        <w:rPr>
          <w:rStyle w:val="Appelnotedebasdep"/>
        </w:rPr>
        <w:footnoteRef/>
      </w:r>
      <w:r w:rsidRPr="003F7BAC">
        <w:t xml:space="preserve"> </w:t>
      </w:r>
      <w:proofErr w:type="gramStart"/>
      <w:r w:rsidRPr="003F7BAC">
        <w:t>Less than 1 MTPA.</w:t>
      </w:r>
      <w:proofErr w:type="gramEnd"/>
    </w:p>
  </w:footnote>
  <w:footnote w:id="8">
    <w:p w:rsidR="00856114" w:rsidRPr="00957930" w:rsidRDefault="00856114" w:rsidP="003F7BAC">
      <w:pPr>
        <w:pStyle w:val="Notedebasdepage"/>
        <w:jc w:val="both"/>
        <w:rPr>
          <w:color w:val="FF0000"/>
        </w:rPr>
      </w:pPr>
      <w:r w:rsidRPr="003F7BAC">
        <w:rPr>
          <w:rStyle w:val="Appelnotedebasdep"/>
        </w:rPr>
        <w:footnoteRef/>
      </w:r>
      <w:r w:rsidRPr="003F7BAC">
        <w:t xml:space="preserve"> Terminals in Norway and Sweden are small-scale and thus not reflected in global trade data in Chapter 3.</w:t>
      </w:r>
    </w:p>
  </w:footnote>
  <w:footnote w:id="9">
    <w:p w:rsidR="00856114" w:rsidRDefault="00856114" w:rsidP="002001DB">
      <w:pPr>
        <w:pStyle w:val="Notedebasdepage"/>
      </w:pPr>
      <w:r>
        <w:rPr>
          <w:rStyle w:val="Appelnotedebasdep"/>
        </w:rPr>
        <w:footnoteRef/>
      </w:r>
      <w:r>
        <w:t xml:space="preserve"> Terminals that can receive deliveries from more than one size of vessel are only included under the largest size that they can accept.</w:t>
      </w:r>
    </w:p>
  </w:footnote>
  <w:footnote w:id="10">
    <w:p w:rsidR="00856114" w:rsidRPr="00F75D38" w:rsidRDefault="00856114" w:rsidP="00733532">
      <w:pPr>
        <w:pStyle w:val="Notedebasdepage"/>
      </w:pPr>
      <w:r w:rsidRPr="00F75D38">
        <w:rPr>
          <w:rStyle w:val="Appelnotedebasdep"/>
        </w:rPr>
        <w:footnoteRef/>
      </w:r>
      <w:r w:rsidRPr="00F75D38">
        <w:t xml:space="preserve"> Many of these announced start dates are likely to be delayed.</w:t>
      </w:r>
    </w:p>
  </w:footnote>
  <w:footnote w:id="11">
    <w:p w:rsidR="00856114" w:rsidRDefault="00856114" w:rsidP="00733532">
      <w:pPr>
        <w:pStyle w:val="Notedebasdepage"/>
      </w:pPr>
      <w:r>
        <w:rPr>
          <w:rStyle w:val="Appelnotedebasdep"/>
        </w:rPr>
        <w:footnoteRef/>
      </w:r>
      <w:r>
        <w:t xml:space="preserve"> Only projects that have begun the FERC process are shown.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15069C">
    <w:pPr>
      <w:pStyle w:val="PFCDocTypeDate"/>
      <w:tabs>
        <w:tab w:val="clear" w:pos="9720"/>
        <w:tab w:val="right" w:pos="10170"/>
      </w:tabs>
      <w:ind w:right="-18" w:firstLine="1440"/>
      <w:rPr>
        <w:b/>
        <w:color w:val="auto"/>
        <w:sz w:val="20"/>
        <w:lang w:val="fr-FR"/>
      </w:rPr>
    </w:pPr>
    <w:r w:rsidRPr="00322DE7">
      <w:rPr>
        <w:b/>
        <w:color w:val="auto"/>
        <w:sz w:val="20"/>
        <w:lang w:val="fr-FR" w:eastAsia="zh-CN"/>
      </w:rPr>
      <w:drawing>
        <wp:anchor distT="0" distB="0" distL="114300" distR="114300" simplePos="0" relativeHeight="251670528" behindDoc="1" locked="0" layoutInCell="1" allowOverlap="1">
          <wp:simplePos x="0" y="0"/>
          <wp:positionH relativeFrom="column">
            <wp:posOffset>-111125</wp:posOffset>
          </wp:positionH>
          <wp:positionV relativeFrom="paragraph">
            <wp:posOffset>-149225</wp:posOffset>
          </wp:positionV>
          <wp:extent cx="907415" cy="702310"/>
          <wp:effectExtent l="19050" t="0" r="6985" b="0"/>
          <wp:wrapTight wrapText="bothSides">
            <wp:wrapPolygon edited="0">
              <wp:start x="-453" y="0"/>
              <wp:lineTo x="-453" y="21092"/>
              <wp:lineTo x="21766" y="21092"/>
              <wp:lineTo x="21766" y="0"/>
              <wp:lineTo x="-453" y="0"/>
            </wp:wrapPolygon>
          </wp:wrapTight>
          <wp:docPr id="20" name="Picture 4"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l="11549" t="14074" r="20327" b="17778"/>
                  <a:stretch>
                    <a:fillRect/>
                  </a:stretch>
                </pic:blipFill>
                <pic:spPr bwMode="auto">
                  <a:xfrm>
                    <a:off x="0" y="0"/>
                    <a:ext cx="907415" cy="702310"/>
                  </a:xfrm>
                  <a:prstGeom prst="rect">
                    <a:avLst/>
                  </a:prstGeom>
                  <a:noFill/>
                  <a:ln w="9525">
                    <a:noFill/>
                    <a:miter lim="800000"/>
                    <a:headEnd/>
                    <a:tailEnd/>
                  </a:ln>
                </pic:spPr>
              </pic:pic>
            </a:graphicData>
          </a:graphic>
        </wp:anchor>
      </w:drawing>
    </w:r>
  </w:p>
  <w:p w:rsidR="00856114" w:rsidRDefault="00856114" w:rsidP="0015069C">
    <w:pPr>
      <w:pStyle w:val="PFCDocTypeDate"/>
      <w:ind w:firstLine="1440"/>
    </w:pPr>
    <w:r>
      <w:rPr>
        <w:b/>
        <w:color w:val="auto"/>
        <w:sz w:val="20"/>
        <w:lang w:val="fr-FR"/>
      </w:rPr>
      <w:tab/>
    </w:r>
    <w:r w:rsidRPr="00174D49">
      <w:rPr>
        <w:b/>
        <w:color w:val="auto"/>
        <w:sz w:val="20"/>
        <w:lang w:val="fr-FR"/>
      </w:rPr>
      <w:t xml:space="preserve">IGU World LNG Report </w:t>
    </w:r>
    <w:r>
      <w:rPr>
        <w:b/>
        <w:color w:val="auto"/>
        <w:sz w:val="20"/>
        <w:lang w:val="fr-FR"/>
      </w:rPr>
      <w:t>–</w:t>
    </w:r>
    <w:r w:rsidRPr="00174D49">
      <w:rPr>
        <w:b/>
        <w:color w:val="auto"/>
        <w:sz w:val="20"/>
        <w:lang w:val="fr-FR"/>
      </w:rPr>
      <w:t xml:space="preserve"> </w:t>
    </w:r>
    <w:r>
      <w:rPr>
        <w:b/>
        <w:color w:val="auto"/>
        <w:sz w:val="20"/>
        <w:lang w:val="fr-FR"/>
      </w:rPr>
      <w:t>2013 Edition</w:t>
    </w:r>
    <w:r w:rsidRPr="00174D49">
      <w:rPr>
        <w:b/>
        <w:color w:val="auto"/>
        <w:sz w:val="20"/>
        <w:lang w:val="fr-FR"/>
      </w:rPr>
      <w:t xml:space="preserve">  </w:t>
    </w:r>
    <w:r w:rsidRPr="00174D49">
      <w:rPr>
        <w:rFonts w:cs="Arial"/>
        <w:b/>
        <w:color w:val="auto"/>
        <w:sz w:val="20"/>
      </w:rPr>
      <w:t>І</w:t>
    </w:r>
    <w:r w:rsidRPr="00174D49">
      <w:rPr>
        <w:b/>
        <w:color w:val="auto"/>
        <w:sz w:val="20"/>
        <w:lang w:val="fr-FR"/>
      </w:rPr>
      <w:t xml:space="preserve">  Page </w:t>
    </w:r>
    <w:r w:rsidR="00073EEA" w:rsidRPr="00174D49">
      <w:rPr>
        <w:rStyle w:val="Numrodepage"/>
        <w:b/>
        <w:noProof w:val="0"/>
        <w:color w:val="auto"/>
        <w:spacing w:val="0"/>
        <w:sz w:val="20"/>
        <w:lang w:eastAsia="fr-FR"/>
      </w:rPr>
      <w:fldChar w:fldCharType="begin"/>
    </w:r>
    <w:r w:rsidRPr="00174D49">
      <w:rPr>
        <w:rStyle w:val="Numrodepage"/>
        <w:b/>
        <w:noProof w:val="0"/>
        <w:color w:val="auto"/>
        <w:spacing w:val="0"/>
        <w:sz w:val="20"/>
        <w:lang w:val="fr-FR" w:eastAsia="fr-FR"/>
      </w:rPr>
      <w:instrText xml:space="preserve"> PAGE </w:instrText>
    </w:r>
    <w:r w:rsidR="00073EEA" w:rsidRPr="00174D49">
      <w:rPr>
        <w:rStyle w:val="Numrodepage"/>
        <w:b/>
        <w:noProof w:val="0"/>
        <w:color w:val="auto"/>
        <w:spacing w:val="0"/>
        <w:sz w:val="20"/>
        <w:lang w:eastAsia="fr-FR"/>
      </w:rPr>
      <w:fldChar w:fldCharType="separate"/>
    </w:r>
    <w:r w:rsidR="008E1041">
      <w:rPr>
        <w:rStyle w:val="Numrodepage"/>
        <w:b/>
        <w:color w:val="auto"/>
        <w:spacing w:val="0"/>
        <w:sz w:val="20"/>
        <w:lang w:val="fr-FR" w:eastAsia="fr-FR"/>
      </w:rPr>
      <w:t>7</w:t>
    </w:r>
    <w:r w:rsidR="00073EEA" w:rsidRPr="00174D49">
      <w:rPr>
        <w:rStyle w:val="Numrodepage"/>
        <w:b/>
        <w:noProof w:val="0"/>
        <w:color w:val="auto"/>
        <w:spacing w:val="0"/>
        <w:sz w:val="20"/>
        <w:lang w:eastAsia="fr-FR"/>
      </w:rPr>
      <w:fldChar w:fldCharType="end"/>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322DE7">
    <w:pPr>
      <w:pStyle w:val="PFCDocTypeDate"/>
      <w:ind w:firstLine="1440"/>
      <w:rPr>
        <w:b/>
        <w:color w:val="auto"/>
        <w:sz w:val="20"/>
        <w:lang w:val="fr-FR"/>
      </w:rPr>
    </w:pPr>
    <w:r w:rsidRPr="00322DE7">
      <w:rPr>
        <w:b/>
        <w:color w:val="auto"/>
        <w:sz w:val="20"/>
        <w:lang w:val="fr-FR" w:eastAsia="zh-CN"/>
      </w:rPr>
      <w:drawing>
        <wp:anchor distT="0" distB="0" distL="114300" distR="114300" simplePos="0" relativeHeight="251672576" behindDoc="1" locked="0" layoutInCell="1" allowOverlap="1">
          <wp:simplePos x="0" y="0"/>
          <wp:positionH relativeFrom="column">
            <wp:posOffset>-111125</wp:posOffset>
          </wp:positionH>
          <wp:positionV relativeFrom="paragraph">
            <wp:posOffset>-149225</wp:posOffset>
          </wp:positionV>
          <wp:extent cx="907415" cy="702310"/>
          <wp:effectExtent l="19050" t="0" r="6985" b="0"/>
          <wp:wrapTight wrapText="bothSides">
            <wp:wrapPolygon edited="0">
              <wp:start x="-453" y="0"/>
              <wp:lineTo x="-453" y="21092"/>
              <wp:lineTo x="21766" y="21092"/>
              <wp:lineTo x="21766" y="0"/>
              <wp:lineTo x="-453" y="0"/>
            </wp:wrapPolygon>
          </wp:wrapTight>
          <wp:docPr id="47" name="Picture 4"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l="11549" t="14074" r="20327" b="17778"/>
                  <a:stretch>
                    <a:fillRect/>
                  </a:stretch>
                </pic:blipFill>
                <pic:spPr bwMode="auto">
                  <a:xfrm>
                    <a:off x="0" y="0"/>
                    <a:ext cx="907415" cy="702310"/>
                  </a:xfrm>
                  <a:prstGeom prst="rect">
                    <a:avLst/>
                  </a:prstGeom>
                  <a:noFill/>
                  <a:ln w="9525">
                    <a:noFill/>
                    <a:miter lim="800000"/>
                    <a:headEnd/>
                    <a:tailEnd/>
                  </a:ln>
                </pic:spPr>
              </pic:pic>
            </a:graphicData>
          </a:graphic>
        </wp:anchor>
      </w:drawing>
    </w:r>
  </w:p>
  <w:p w:rsidR="00856114" w:rsidRPr="00174D49" w:rsidRDefault="00856114" w:rsidP="00322DE7">
    <w:pPr>
      <w:pStyle w:val="PFCDocTypeDate"/>
      <w:ind w:firstLine="1440"/>
      <w:rPr>
        <w:rStyle w:val="Numrodepage"/>
        <w:b/>
        <w:noProof w:val="0"/>
        <w:color w:val="auto"/>
        <w:spacing w:val="0"/>
        <w:sz w:val="20"/>
        <w:lang w:eastAsia="fr-FR"/>
      </w:rPr>
    </w:pPr>
    <w:r>
      <w:rPr>
        <w:b/>
        <w:color w:val="auto"/>
        <w:sz w:val="20"/>
        <w:lang w:val="fr-FR"/>
      </w:rPr>
      <w:tab/>
    </w:r>
    <w:r w:rsidRPr="00174D49">
      <w:rPr>
        <w:b/>
        <w:color w:val="auto"/>
        <w:sz w:val="20"/>
        <w:lang w:val="fr-FR"/>
      </w:rPr>
      <w:t xml:space="preserve">IGU World LNG Report </w:t>
    </w:r>
    <w:r>
      <w:rPr>
        <w:b/>
        <w:color w:val="auto"/>
        <w:sz w:val="20"/>
        <w:lang w:val="fr-FR"/>
      </w:rPr>
      <w:t>–</w:t>
    </w:r>
    <w:r w:rsidRPr="00174D49">
      <w:rPr>
        <w:b/>
        <w:color w:val="auto"/>
        <w:sz w:val="20"/>
        <w:lang w:val="fr-FR"/>
      </w:rPr>
      <w:t xml:space="preserve"> </w:t>
    </w:r>
    <w:r>
      <w:rPr>
        <w:b/>
        <w:color w:val="auto"/>
        <w:sz w:val="20"/>
        <w:lang w:val="fr-FR"/>
      </w:rPr>
      <w:t>2013 Edition</w:t>
    </w:r>
    <w:r w:rsidRPr="00174D49">
      <w:rPr>
        <w:b/>
        <w:color w:val="auto"/>
        <w:sz w:val="20"/>
        <w:lang w:val="fr-FR"/>
      </w:rPr>
      <w:t xml:space="preserve">  </w:t>
    </w:r>
    <w:r w:rsidRPr="00174D49">
      <w:rPr>
        <w:rFonts w:cs="Arial"/>
        <w:b/>
        <w:color w:val="auto"/>
        <w:sz w:val="20"/>
      </w:rPr>
      <w:t>І</w:t>
    </w:r>
    <w:r w:rsidRPr="00174D49">
      <w:rPr>
        <w:b/>
        <w:color w:val="auto"/>
        <w:sz w:val="20"/>
        <w:lang w:val="fr-FR"/>
      </w:rPr>
      <w:t xml:space="preserve">  Page </w:t>
    </w:r>
    <w:r w:rsidR="00073EEA" w:rsidRPr="00174D49">
      <w:rPr>
        <w:rStyle w:val="Numrodepage"/>
        <w:b/>
        <w:noProof w:val="0"/>
        <w:color w:val="auto"/>
        <w:spacing w:val="0"/>
        <w:sz w:val="20"/>
        <w:lang w:eastAsia="fr-FR"/>
      </w:rPr>
      <w:fldChar w:fldCharType="begin"/>
    </w:r>
    <w:r w:rsidRPr="00174D49">
      <w:rPr>
        <w:rStyle w:val="Numrodepage"/>
        <w:b/>
        <w:noProof w:val="0"/>
        <w:color w:val="auto"/>
        <w:spacing w:val="0"/>
        <w:sz w:val="20"/>
        <w:lang w:val="fr-FR" w:eastAsia="fr-FR"/>
      </w:rPr>
      <w:instrText xml:space="preserve"> PAGE </w:instrText>
    </w:r>
    <w:r w:rsidR="00073EEA" w:rsidRPr="00174D49">
      <w:rPr>
        <w:rStyle w:val="Numrodepage"/>
        <w:b/>
        <w:noProof w:val="0"/>
        <w:color w:val="auto"/>
        <w:spacing w:val="0"/>
        <w:sz w:val="20"/>
        <w:lang w:eastAsia="fr-FR"/>
      </w:rPr>
      <w:fldChar w:fldCharType="separate"/>
    </w:r>
    <w:r w:rsidR="008E1041">
      <w:rPr>
        <w:rStyle w:val="Numrodepage"/>
        <w:b/>
        <w:color w:val="auto"/>
        <w:spacing w:val="0"/>
        <w:sz w:val="20"/>
        <w:lang w:val="fr-FR" w:eastAsia="fr-FR"/>
      </w:rPr>
      <w:t>45</w:t>
    </w:r>
    <w:r w:rsidR="00073EEA" w:rsidRPr="00174D49">
      <w:rPr>
        <w:rStyle w:val="Numrodepage"/>
        <w:b/>
        <w:noProof w:val="0"/>
        <w:color w:val="auto"/>
        <w:spacing w:val="0"/>
        <w:sz w:val="20"/>
        <w:lang w:eastAsia="fr-FR"/>
      </w:rPr>
      <w:fldChar w:fldCharType="end"/>
    </w:r>
    <w:r>
      <w:rPr>
        <w:rStyle w:val="Numrodepage"/>
        <w:b/>
        <w:noProof w:val="0"/>
        <w:color w:val="auto"/>
        <w:spacing w:val="0"/>
        <w:sz w:val="20"/>
        <w:lang w:eastAsia="fr-FR"/>
      </w:rPr>
      <w:t xml:space="preserve">  </w:t>
    </w:r>
  </w:p>
  <w:p w:rsidR="00856114" w:rsidRDefault="00856114">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8810" w:type="dxa"/>
      <w:tblInd w:w="-20" w:type="dxa"/>
      <w:tblCellMar>
        <w:left w:w="70" w:type="dxa"/>
        <w:right w:w="70" w:type="dxa"/>
      </w:tblCellMar>
      <w:tblLook w:val="0000"/>
    </w:tblPr>
    <w:tblGrid>
      <w:gridCol w:w="2950"/>
      <w:gridCol w:w="7930"/>
      <w:gridCol w:w="7930"/>
    </w:tblGrid>
    <w:tr w:rsidR="00856114" w:rsidTr="00176868">
      <w:trPr>
        <w:trHeight w:val="990"/>
      </w:trPr>
      <w:tc>
        <w:tcPr>
          <w:tcW w:w="2250" w:type="dxa"/>
          <w:vAlign w:val="center"/>
        </w:tcPr>
        <w:p w:rsidR="00856114" w:rsidRDefault="00856114">
          <w:pPr>
            <w:ind w:left="20"/>
          </w:pPr>
          <w:r w:rsidRPr="00322DE7">
            <w:rPr>
              <w:noProof/>
              <w:lang w:val="fr-FR" w:eastAsia="zh-CN"/>
            </w:rPr>
            <w:drawing>
              <wp:inline distT="0" distB="0" distL="0" distR="0">
                <wp:extent cx="1752600" cy="1295400"/>
                <wp:effectExtent l="19050" t="0" r="0" b="0"/>
                <wp:docPr id="48" name="Picture 1"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a:stretch>
                          <a:fillRect/>
                        </a:stretch>
                      </pic:blipFill>
                      <pic:spPr bwMode="auto">
                        <a:xfrm>
                          <a:off x="0" y="0"/>
                          <a:ext cx="1752600" cy="1295400"/>
                        </a:xfrm>
                        <a:prstGeom prst="rect">
                          <a:avLst/>
                        </a:prstGeom>
                        <a:noFill/>
                        <a:ln w="9525">
                          <a:noFill/>
                          <a:miter lim="800000"/>
                          <a:headEnd/>
                          <a:tailEnd/>
                        </a:ln>
                      </pic:spPr>
                    </pic:pic>
                  </a:graphicData>
                </a:graphic>
              </wp:inline>
            </w:drawing>
          </w:r>
        </w:p>
      </w:tc>
      <w:tc>
        <w:tcPr>
          <w:tcW w:w="8280" w:type="dxa"/>
          <w:vAlign w:val="center"/>
        </w:tcPr>
        <w:p w:rsidR="00856114" w:rsidRDefault="00856114" w:rsidP="00176868">
          <w:pPr>
            <w:pStyle w:val="PFCServiceName"/>
            <w:rPr>
              <w:sz w:val="24"/>
            </w:rPr>
          </w:pPr>
        </w:p>
      </w:tc>
      <w:tc>
        <w:tcPr>
          <w:tcW w:w="8280" w:type="dxa"/>
          <w:vAlign w:val="center"/>
        </w:tcPr>
        <w:p w:rsidR="00856114" w:rsidRDefault="00856114">
          <w:pPr>
            <w:pStyle w:val="PFCServiceName"/>
            <w:rPr>
              <w:sz w:val="24"/>
            </w:rPr>
          </w:pPr>
        </w:p>
      </w:tc>
    </w:tr>
  </w:tbl>
  <w:p w:rsidR="00856114" w:rsidRDefault="00856114">
    <w:pPr>
      <w:pStyle w:val="En-tte"/>
    </w:pPr>
  </w:p>
  <w:p w:rsidR="00856114" w:rsidRDefault="00856114">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322DE7">
    <w:pPr>
      <w:pStyle w:val="PFCDocTypeDate"/>
      <w:ind w:firstLine="1440"/>
      <w:rPr>
        <w:b/>
        <w:color w:val="auto"/>
        <w:sz w:val="20"/>
        <w:lang w:val="fr-FR"/>
      </w:rPr>
    </w:pPr>
    <w:r w:rsidRPr="00322DE7">
      <w:rPr>
        <w:b/>
        <w:color w:val="auto"/>
        <w:sz w:val="20"/>
        <w:lang w:val="fr-FR" w:eastAsia="zh-CN"/>
      </w:rPr>
      <w:drawing>
        <wp:anchor distT="0" distB="0" distL="114300" distR="114300" simplePos="0" relativeHeight="251668480" behindDoc="1" locked="0" layoutInCell="1" allowOverlap="1">
          <wp:simplePos x="0" y="0"/>
          <wp:positionH relativeFrom="column">
            <wp:posOffset>-111125</wp:posOffset>
          </wp:positionH>
          <wp:positionV relativeFrom="paragraph">
            <wp:posOffset>-149225</wp:posOffset>
          </wp:positionV>
          <wp:extent cx="907415" cy="702310"/>
          <wp:effectExtent l="19050" t="0" r="6985" b="0"/>
          <wp:wrapTight wrapText="bothSides">
            <wp:wrapPolygon edited="0">
              <wp:start x="-453" y="0"/>
              <wp:lineTo x="-453" y="21092"/>
              <wp:lineTo x="21766" y="21092"/>
              <wp:lineTo x="21766" y="0"/>
              <wp:lineTo x="-453" y="0"/>
            </wp:wrapPolygon>
          </wp:wrapTight>
          <wp:docPr id="164" name="Picture 4"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l="11549" t="14074" r="20327" b="17778"/>
                  <a:stretch>
                    <a:fillRect/>
                  </a:stretch>
                </pic:blipFill>
                <pic:spPr bwMode="auto">
                  <a:xfrm>
                    <a:off x="0" y="0"/>
                    <a:ext cx="907415" cy="702310"/>
                  </a:xfrm>
                  <a:prstGeom prst="rect">
                    <a:avLst/>
                  </a:prstGeom>
                  <a:noFill/>
                  <a:ln w="9525">
                    <a:noFill/>
                    <a:miter lim="800000"/>
                    <a:headEnd/>
                    <a:tailEnd/>
                  </a:ln>
                </pic:spPr>
              </pic:pic>
            </a:graphicData>
          </a:graphic>
        </wp:anchor>
      </w:drawing>
    </w:r>
  </w:p>
  <w:p w:rsidR="00856114" w:rsidRPr="00174D49" w:rsidRDefault="00856114" w:rsidP="00322DE7">
    <w:pPr>
      <w:pStyle w:val="PFCDocTypeDate"/>
      <w:ind w:firstLine="1440"/>
      <w:rPr>
        <w:rStyle w:val="Numrodepage"/>
        <w:b/>
        <w:noProof w:val="0"/>
        <w:color w:val="auto"/>
        <w:spacing w:val="0"/>
        <w:sz w:val="20"/>
        <w:lang w:eastAsia="fr-FR"/>
      </w:rPr>
    </w:pPr>
    <w:r>
      <w:rPr>
        <w:b/>
        <w:color w:val="auto"/>
        <w:sz w:val="20"/>
        <w:lang w:val="fr-FR"/>
      </w:rPr>
      <w:tab/>
    </w:r>
    <w:r w:rsidRPr="00174D49">
      <w:rPr>
        <w:b/>
        <w:color w:val="auto"/>
        <w:sz w:val="20"/>
        <w:lang w:val="fr-FR"/>
      </w:rPr>
      <w:t xml:space="preserve">IGU World LNG Report </w:t>
    </w:r>
    <w:r>
      <w:rPr>
        <w:b/>
        <w:color w:val="auto"/>
        <w:sz w:val="20"/>
        <w:lang w:val="fr-FR"/>
      </w:rPr>
      <w:t>–</w:t>
    </w:r>
    <w:r w:rsidRPr="00174D49">
      <w:rPr>
        <w:b/>
        <w:color w:val="auto"/>
        <w:sz w:val="20"/>
        <w:lang w:val="fr-FR"/>
      </w:rPr>
      <w:t xml:space="preserve"> </w:t>
    </w:r>
    <w:r>
      <w:rPr>
        <w:b/>
        <w:color w:val="auto"/>
        <w:sz w:val="20"/>
        <w:lang w:val="fr-FR"/>
      </w:rPr>
      <w:t>2013 Edition</w:t>
    </w:r>
    <w:r w:rsidRPr="00174D49">
      <w:rPr>
        <w:b/>
        <w:color w:val="auto"/>
        <w:sz w:val="20"/>
        <w:lang w:val="fr-FR"/>
      </w:rPr>
      <w:t xml:space="preserve">  </w:t>
    </w:r>
    <w:r w:rsidRPr="00174D49">
      <w:rPr>
        <w:rFonts w:cs="Arial"/>
        <w:b/>
        <w:color w:val="auto"/>
        <w:sz w:val="20"/>
      </w:rPr>
      <w:t>І</w:t>
    </w:r>
    <w:r w:rsidRPr="00174D49">
      <w:rPr>
        <w:b/>
        <w:color w:val="auto"/>
        <w:sz w:val="20"/>
        <w:lang w:val="fr-FR"/>
      </w:rPr>
      <w:t xml:space="preserve">  Page </w:t>
    </w:r>
    <w:r w:rsidR="00073EEA" w:rsidRPr="00174D49">
      <w:rPr>
        <w:rStyle w:val="Numrodepage"/>
        <w:b/>
        <w:noProof w:val="0"/>
        <w:color w:val="auto"/>
        <w:spacing w:val="0"/>
        <w:sz w:val="20"/>
        <w:lang w:eastAsia="fr-FR"/>
      </w:rPr>
      <w:fldChar w:fldCharType="begin"/>
    </w:r>
    <w:r w:rsidRPr="00174D49">
      <w:rPr>
        <w:rStyle w:val="Numrodepage"/>
        <w:b/>
        <w:noProof w:val="0"/>
        <w:color w:val="auto"/>
        <w:spacing w:val="0"/>
        <w:sz w:val="20"/>
        <w:lang w:val="fr-FR" w:eastAsia="fr-FR"/>
      </w:rPr>
      <w:instrText xml:space="preserve"> PAGE </w:instrText>
    </w:r>
    <w:r w:rsidR="00073EEA" w:rsidRPr="00174D49">
      <w:rPr>
        <w:rStyle w:val="Numrodepage"/>
        <w:b/>
        <w:noProof w:val="0"/>
        <w:color w:val="auto"/>
        <w:spacing w:val="0"/>
        <w:sz w:val="20"/>
        <w:lang w:eastAsia="fr-FR"/>
      </w:rPr>
      <w:fldChar w:fldCharType="separate"/>
    </w:r>
    <w:r w:rsidR="008E1041">
      <w:rPr>
        <w:rStyle w:val="Numrodepage"/>
        <w:b/>
        <w:color w:val="auto"/>
        <w:spacing w:val="0"/>
        <w:sz w:val="20"/>
        <w:lang w:val="fr-FR" w:eastAsia="fr-FR"/>
      </w:rPr>
      <w:t>48</w:t>
    </w:r>
    <w:r w:rsidR="00073EEA" w:rsidRPr="00174D49">
      <w:rPr>
        <w:rStyle w:val="Numrodepage"/>
        <w:b/>
        <w:noProof w:val="0"/>
        <w:color w:val="auto"/>
        <w:spacing w:val="0"/>
        <w:sz w:val="20"/>
        <w:lang w:eastAsia="fr-FR"/>
      </w:rPr>
      <w:fldChar w:fldCharType="end"/>
    </w:r>
    <w:r>
      <w:rPr>
        <w:rStyle w:val="Numrodepage"/>
        <w:b/>
        <w:noProof w:val="0"/>
        <w:color w:val="auto"/>
        <w:spacing w:val="0"/>
        <w:sz w:val="20"/>
        <w:lang w:eastAsia="fr-FR"/>
      </w:rPr>
      <w:t xml:space="preserve">  </w:t>
    </w:r>
  </w:p>
  <w:p w:rsidR="00856114" w:rsidRDefault="00856114">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8810" w:type="dxa"/>
      <w:tblInd w:w="-20" w:type="dxa"/>
      <w:tblCellMar>
        <w:left w:w="70" w:type="dxa"/>
        <w:right w:w="70" w:type="dxa"/>
      </w:tblCellMar>
      <w:tblLook w:val="0000"/>
    </w:tblPr>
    <w:tblGrid>
      <w:gridCol w:w="2950"/>
      <w:gridCol w:w="7930"/>
      <w:gridCol w:w="7930"/>
    </w:tblGrid>
    <w:tr w:rsidR="00856114" w:rsidTr="00176868">
      <w:trPr>
        <w:trHeight w:val="990"/>
      </w:trPr>
      <w:tc>
        <w:tcPr>
          <w:tcW w:w="2250" w:type="dxa"/>
          <w:vAlign w:val="center"/>
        </w:tcPr>
        <w:p w:rsidR="00856114" w:rsidRDefault="00856114">
          <w:pPr>
            <w:ind w:left="20"/>
          </w:pPr>
          <w:r w:rsidRPr="00322DE7">
            <w:rPr>
              <w:noProof/>
              <w:lang w:val="fr-FR" w:eastAsia="zh-CN"/>
            </w:rPr>
            <w:drawing>
              <wp:inline distT="0" distB="0" distL="0" distR="0">
                <wp:extent cx="1752600" cy="1295400"/>
                <wp:effectExtent l="19050" t="0" r="0" b="0"/>
                <wp:docPr id="165" name="Picture 1"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a:stretch>
                          <a:fillRect/>
                        </a:stretch>
                      </pic:blipFill>
                      <pic:spPr bwMode="auto">
                        <a:xfrm>
                          <a:off x="0" y="0"/>
                          <a:ext cx="1752600" cy="1295400"/>
                        </a:xfrm>
                        <a:prstGeom prst="rect">
                          <a:avLst/>
                        </a:prstGeom>
                        <a:noFill/>
                        <a:ln w="9525">
                          <a:noFill/>
                          <a:miter lim="800000"/>
                          <a:headEnd/>
                          <a:tailEnd/>
                        </a:ln>
                      </pic:spPr>
                    </pic:pic>
                  </a:graphicData>
                </a:graphic>
              </wp:inline>
            </w:drawing>
          </w:r>
        </w:p>
      </w:tc>
      <w:tc>
        <w:tcPr>
          <w:tcW w:w="8280" w:type="dxa"/>
          <w:vAlign w:val="center"/>
        </w:tcPr>
        <w:p w:rsidR="00856114" w:rsidRDefault="00856114" w:rsidP="00176868">
          <w:pPr>
            <w:pStyle w:val="PFCServiceName"/>
            <w:rPr>
              <w:sz w:val="24"/>
            </w:rPr>
          </w:pPr>
        </w:p>
      </w:tc>
      <w:tc>
        <w:tcPr>
          <w:tcW w:w="8280" w:type="dxa"/>
          <w:vAlign w:val="center"/>
        </w:tcPr>
        <w:p w:rsidR="00856114" w:rsidRDefault="00856114">
          <w:pPr>
            <w:pStyle w:val="PFCServiceName"/>
            <w:rPr>
              <w:sz w:val="24"/>
            </w:rPr>
          </w:pPr>
        </w:p>
      </w:tc>
    </w:tr>
  </w:tbl>
  <w:p w:rsidR="00856114" w:rsidRDefault="00856114">
    <w:pPr>
      <w:pStyle w:val="En-tte"/>
    </w:pPr>
  </w:p>
  <w:p w:rsidR="00856114" w:rsidRDefault="00856114">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Pr="00010D5E" w:rsidRDefault="00856114" w:rsidP="00010D5E">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322DE7">
    <w:pPr>
      <w:pStyle w:val="PFCDocTypeDate"/>
      <w:ind w:firstLine="1440"/>
      <w:rPr>
        <w:b/>
        <w:color w:val="auto"/>
        <w:sz w:val="20"/>
        <w:lang w:val="fr-FR"/>
      </w:rPr>
    </w:pPr>
  </w:p>
  <w:p w:rsidR="00856114" w:rsidRDefault="00856114">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322DE7">
    <w:pPr>
      <w:pStyle w:val="PFCDocTypeDate"/>
      <w:ind w:firstLine="1440"/>
      <w:rPr>
        <w:b/>
        <w:color w:val="auto"/>
        <w:sz w:val="20"/>
        <w:lang w:val="fr-FR"/>
      </w:rPr>
    </w:pPr>
    <w:r w:rsidRPr="00322DE7">
      <w:rPr>
        <w:b/>
        <w:color w:val="auto"/>
        <w:sz w:val="20"/>
        <w:lang w:val="fr-FR" w:eastAsia="zh-CN"/>
      </w:rPr>
      <w:drawing>
        <wp:anchor distT="0" distB="0" distL="114300" distR="114300" simplePos="0" relativeHeight="251660288" behindDoc="1" locked="0" layoutInCell="1" allowOverlap="1">
          <wp:simplePos x="0" y="0"/>
          <wp:positionH relativeFrom="column">
            <wp:posOffset>-111125</wp:posOffset>
          </wp:positionH>
          <wp:positionV relativeFrom="paragraph">
            <wp:posOffset>-149225</wp:posOffset>
          </wp:positionV>
          <wp:extent cx="907415" cy="702310"/>
          <wp:effectExtent l="19050" t="0" r="6985" b="0"/>
          <wp:wrapTight wrapText="bothSides">
            <wp:wrapPolygon edited="0">
              <wp:start x="-453" y="0"/>
              <wp:lineTo x="-453" y="21092"/>
              <wp:lineTo x="21766" y="21092"/>
              <wp:lineTo x="21766" y="0"/>
              <wp:lineTo x="-453" y="0"/>
            </wp:wrapPolygon>
          </wp:wrapTight>
          <wp:docPr id="76" name="Picture 4"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l="11549" t="14074" r="20327" b="17778"/>
                  <a:stretch>
                    <a:fillRect/>
                  </a:stretch>
                </pic:blipFill>
                <pic:spPr bwMode="auto">
                  <a:xfrm>
                    <a:off x="0" y="0"/>
                    <a:ext cx="907415" cy="702310"/>
                  </a:xfrm>
                  <a:prstGeom prst="rect">
                    <a:avLst/>
                  </a:prstGeom>
                  <a:noFill/>
                  <a:ln w="9525">
                    <a:noFill/>
                    <a:miter lim="800000"/>
                    <a:headEnd/>
                    <a:tailEnd/>
                  </a:ln>
                </pic:spPr>
              </pic:pic>
            </a:graphicData>
          </a:graphic>
        </wp:anchor>
      </w:drawing>
    </w:r>
  </w:p>
  <w:p w:rsidR="00856114" w:rsidRPr="00174D49" w:rsidRDefault="00856114" w:rsidP="00322DE7">
    <w:pPr>
      <w:pStyle w:val="PFCDocTypeDate"/>
      <w:ind w:firstLine="1440"/>
      <w:rPr>
        <w:rStyle w:val="Numrodepage"/>
        <w:b/>
        <w:noProof w:val="0"/>
        <w:color w:val="auto"/>
        <w:spacing w:val="0"/>
        <w:sz w:val="20"/>
        <w:lang w:eastAsia="fr-FR"/>
      </w:rPr>
    </w:pPr>
    <w:r>
      <w:rPr>
        <w:b/>
        <w:color w:val="auto"/>
        <w:sz w:val="20"/>
        <w:lang w:val="fr-FR"/>
      </w:rPr>
      <w:tab/>
      <w:t xml:space="preserve">        </w:t>
    </w:r>
    <w:r w:rsidRPr="00174D49">
      <w:rPr>
        <w:b/>
        <w:color w:val="auto"/>
        <w:sz w:val="20"/>
        <w:lang w:val="fr-FR"/>
      </w:rPr>
      <w:t xml:space="preserve">IGU World LNG Report </w:t>
    </w:r>
    <w:r>
      <w:rPr>
        <w:b/>
        <w:color w:val="auto"/>
        <w:sz w:val="20"/>
        <w:lang w:val="fr-FR"/>
      </w:rPr>
      <w:t>–</w:t>
    </w:r>
    <w:r w:rsidRPr="00174D49">
      <w:rPr>
        <w:b/>
        <w:color w:val="auto"/>
        <w:sz w:val="20"/>
        <w:lang w:val="fr-FR"/>
      </w:rPr>
      <w:t xml:space="preserve"> </w:t>
    </w:r>
    <w:r>
      <w:rPr>
        <w:b/>
        <w:color w:val="auto"/>
        <w:sz w:val="20"/>
        <w:lang w:val="fr-FR"/>
      </w:rPr>
      <w:t>2013 Edition</w:t>
    </w:r>
    <w:r w:rsidRPr="00174D49">
      <w:rPr>
        <w:b/>
        <w:color w:val="auto"/>
        <w:sz w:val="20"/>
        <w:lang w:val="fr-FR"/>
      </w:rPr>
      <w:t xml:space="preserve">  </w:t>
    </w:r>
    <w:r w:rsidRPr="00174D49">
      <w:rPr>
        <w:rFonts w:cs="Arial"/>
        <w:b/>
        <w:color w:val="auto"/>
        <w:sz w:val="20"/>
      </w:rPr>
      <w:t>І</w:t>
    </w:r>
    <w:r w:rsidRPr="00174D49">
      <w:rPr>
        <w:b/>
        <w:color w:val="auto"/>
        <w:sz w:val="20"/>
        <w:lang w:val="fr-FR"/>
      </w:rPr>
      <w:t xml:space="preserve">  Page </w:t>
    </w:r>
    <w:r w:rsidR="00073EEA" w:rsidRPr="00174D49">
      <w:rPr>
        <w:rStyle w:val="Numrodepage"/>
        <w:b/>
        <w:noProof w:val="0"/>
        <w:color w:val="auto"/>
        <w:spacing w:val="0"/>
        <w:sz w:val="20"/>
        <w:lang w:eastAsia="fr-FR"/>
      </w:rPr>
      <w:fldChar w:fldCharType="begin"/>
    </w:r>
    <w:r w:rsidRPr="00174D49">
      <w:rPr>
        <w:rStyle w:val="Numrodepage"/>
        <w:b/>
        <w:noProof w:val="0"/>
        <w:color w:val="auto"/>
        <w:spacing w:val="0"/>
        <w:sz w:val="20"/>
        <w:lang w:val="fr-FR" w:eastAsia="fr-FR"/>
      </w:rPr>
      <w:instrText xml:space="preserve"> PAGE </w:instrText>
    </w:r>
    <w:r w:rsidR="00073EEA" w:rsidRPr="00174D49">
      <w:rPr>
        <w:rStyle w:val="Numrodepage"/>
        <w:b/>
        <w:noProof w:val="0"/>
        <w:color w:val="auto"/>
        <w:spacing w:val="0"/>
        <w:sz w:val="20"/>
        <w:lang w:eastAsia="fr-FR"/>
      </w:rPr>
      <w:fldChar w:fldCharType="separate"/>
    </w:r>
    <w:r w:rsidR="008E1041">
      <w:rPr>
        <w:rStyle w:val="Numrodepage"/>
        <w:b/>
        <w:color w:val="auto"/>
        <w:spacing w:val="0"/>
        <w:sz w:val="20"/>
        <w:lang w:val="fr-FR" w:eastAsia="fr-FR"/>
      </w:rPr>
      <w:t>8</w:t>
    </w:r>
    <w:r w:rsidR="00073EEA" w:rsidRPr="00174D49">
      <w:rPr>
        <w:rStyle w:val="Numrodepage"/>
        <w:b/>
        <w:noProof w:val="0"/>
        <w:color w:val="auto"/>
        <w:spacing w:val="0"/>
        <w:sz w:val="20"/>
        <w:lang w:eastAsia="fr-FR"/>
      </w:rPr>
      <w:fldChar w:fldCharType="end"/>
    </w:r>
    <w:r>
      <w:rPr>
        <w:rStyle w:val="Numrodepage"/>
        <w:b/>
        <w:noProof w:val="0"/>
        <w:color w:val="auto"/>
        <w:spacing w:val="0"/>
        <w:sz w:val="20"/>
        <w:lang w:eastAsia="fr-FR"/>
      </w:rPr>
      <w:t xml:space="preserve">  </w:t>
    </w:r>
  </w:p>
  <w:p w:rsidR="00856114" w:rsidRDefault="00856114">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8810" w:type="dxa"/>
      <w:tblInd w:w="-20" w:type="dxa"/>
      <w:tblCellMar>
        <w:left w:w="70" w:type="dxa"/>
        <w:right w:w="70" w:type="dxa"/>
      </w:tblCellMar>
      <w:tblLook w:val="0000"/>
    </w:tblPr>
    <w:tblGrid>
      <w:gridCol w:w="2950"/>
      <w:gridCol w:w="7930"/>
      <w:gridCol w:w="7930"/>
    </w:tblGrid>
    <w:tr w:rsidR="00856114" w:rsidTr="00176868">
      <w:trPr>
        <w:trHeight w:val="990"/>
      </w:trPr>
      <w:tc>
        <w:tcPr>
          <w:tcW w:w="2250" w:type="dxa"/>
          <w:vAlign w:val="center"/>
        </w:tcPr>
        <w:p w:rsidR="00856114" w:rsidRDefault="00856114">
          <w:pPr>
            <w:ind w:left="20"/>
          </w:pPr>
          <w:r w:rsidRPr="00322DE7">
            <w:rPr>
              <w:noProof/>
              <w:lang w:val="fr-FR" w:eastAsia="zh-CN"/>
            </w:rPr>
            <w:drawing>
              <wp:inline distT="0" distB="0" distL="0" distR="0">
                <wp:extent cx="1752600" cy="1295400"/>
                <wp:effectExtent l="19050" t="0" r="0" b="0"/>
                <wp:docPr id="77" name="Picture 1"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a:stretch>
                          <a:fillRect/>
                        </a:stretch>
                      </pic:blipFill>
                      <pic:spPr bwMode="auto">
                        <a:xfrm>
                          <a:off x="0" y="0"/>
                          <a:ext cx="1752600" cy="1295400"/>
                        </a:xfrm>
                        <a:prstGeom prst="rect">
                          <a:avLst/>
                        </a:prstGeom>
                        <a:noFill/>
                        <a:ln w="9525">
                          <a:noFill/>
                          <a:miter lim="800000"/>
                          <a:headEnd/>
                          <a:tailEnd/>
                        </a:ln>
                      </pic:spPr>
                    </pic:pic>
                  </a:graphicData>
                </a:graphic>
              </wp:inline>
            </w:drawing>
          </w:r>
        </w:p>
      </w:tc>
      <w:tc>
        <w:tcPr>
          <w:tcW w:w="8280" w:type="dxa"/>
          <w:vAlign w:val="center"/>
        </w:tcPr>
        <w:p w:rsidR="00856114" w:rsidRDefault="00856114" w:rsidP="00176868">
          <w:pPr>
            <w:pStyle w:val="PFCServiceName"/>
            <w:rPr>
              <w:sz w:val="24"/>
            </w:rPr>
          </w:pPr>
        </w:p>
      </w:tc>
      <w:tc>
        <w:tcPr>
          <w:tcW w:w="8280" w:type="dxa"/>
          <w:vAlign w:val="center"/>
        </w:tcPr>
        <w:p w:rsidR="00856114" w:rsidRDefault="00856114">
          <w:pPr>
            <w:pStyle w:val="PFCServiceName"/>
            <w:rPr>
              <w:sz w:val="24"/>
            </w:rPr>
          </w:pPr>
        </w:p>
      </w:tc>
    </w:tr>
  </w:tbl>
  <w:p w:rsidR="00856114" w:rsidRDefault="00856114">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322DE7">
    <w:pPr>
      <w:pStyle w:val="PFCDocTypeDate"/>
      <w:ind w:firstLine="1440"/>
      <w:rPr>
        <w:b/>
        <w:color w:val="auto"/>
        <w:sz w:val="20"/>
        <w:lang w:val="fr-FR"/>
      </w:rPr>
    </w:pPr>
    <w:r w:rsidRPr="00322DE7">
      <w:rPr>
        <w:b/>
        <w:color w:val="auto"/>
        <w:sz w:val="20"/>
        <w:lang w:val="fr-FR" w:eastAsia="zh-CN"/>
      </w:rPr>
      <w:drawing>
        <wp:anchor distT="0" distB="0" distL="114300" distR="114300" simplePos="0" relativeHeight="251662336" behindDoc="1" locked="0" layoutInCell="1" allowOverlap="1">
          <wp:simplePos x="0" y="0"/>
          <wp:positionH relativeFrom="column">
            <wp:posOffset>-111125</wp:posOffset>
          </wp:positionH>
          <wp:positionV relativeFrom="paragraph">
            <wp:posOffset>-149225</wp:posOffset>
          </wp:positionV>
          <wp:extent cx="907415" cy="702310"/>
          <wp:effectExtent l="19050" t="0" r="6985" b="0"/>
          <wp:wrapTight wrapText="bothSides">
            <wp:wrapPolygon edited="0">
              <wp:start x="-453" y="0"/>
              <wp:lineTo x="-453" y="21092"/>
              <wp:lineTo x="21766" y="21092"/>
              <wp:lineTo x="21766" y="0"/>
              <wp:lineTo x="-453" y="0"/>
            </wp:wrapPolygon>
          </wp:wrapTight>
          <wp:docPr id="89" name="Picture 4"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l="11549" t="14074" r="20327" b="17778"/>
                  <a:stretch>
                    <a:fillRect/>
                  </a:stretch>
                </pic:blipFill>
                <pic:spPr bwMode="auto">
                  <a:xfrm>
                    <a:off x="0" y="0"/>
                    <a:ext cx="907415" cy="702310"/>
                  </a:xfrm>
                  <a:prstGeom prst="rect">
                    <a:avLst/>
                  </a:prstGeom>
                  <a:noFill/>
                  <a:ln w="9525">
                    <a:noFill/>
                    <a:miter lim="800000"/>
                    <a:headEnd/>
                    <a:tailEnd/>
                  </a:ln>
                </pic:spPr>
              </pic:pic>
            </a:graphicData>
          </a:graphic>
        </wp:anchor>
      </w:drawing>
    </w:r>
  </w:p>
  <w:p w:rsidR="00856114" w:rsidRPr="00174D49" w:rsidRDefault="00856114" w:rsidP="00322DE7">
    <w:pPr>
      <w:pStyle w:val="PFCDocTypeDate"/>
      <w:ind w:firstLine="1440"/>
      <w:rPr>
        <w:rStyle w:val="Numrodepage"/>
        <w:b/>
        <w:noProof w:val="0"/>
        <w:color w:val="auto"/>
        <w:spacing w:val="0"/>
        <w:sz w:val="20"/>
        <w:lang w:eastAsia="fr-FR"/>
      </w:rPr>
    </w:pPr>
    <w:r>
      <w:rPr>
        <w:b/>
        <w:color w:val="auto"/>
        <w:sz w:val="20"/>
        <w:lang w:val="fr-FR"/>
      </w:rPr>
      <w:tab/>
    </w:r>
    <w:r w:rsidRPr="00174D49">
      <w:rPr>
        <w:b/>
        <w:color w:val="auto"/>
        <w:sz w:val="20"/>
        <w:lang w:val="fr-FR"/>
      </w:rPr>
      <w:t xml:space="preserve">IGU World LNG Report </w:t>
    </w:r>
    <w:r>
      <w:rPr>
        <w:b/>
        <w:color w:val="auto"/>
        <w:sz w:val="20"/>
        <w:lang w:val="fr-FR"/>
      </w:rPr>
      <w:t>–</w:t>
    </w:r>
    <w:r w:rsidRPr="00174D49">
      <w:rPr>
        <w:b/>
        <w:color w:val="auto"/>
        <w:sz w:val="20"/>
        <w:lang w:val="fr-FR"/>
      </w:rPr>
      <w:t xml:space="preserve"> </w:t>
    </w:r>
    <w:r>
      <w:rPr>
        <w:b/>
        <w:color w:val="auto"/>
        <w:sz w:val="20"/>
        <w:lang w:val="fr-FR"/>
      </w:rPr>
      <w:t>2013 Edition</w:t>
    </w:r>
    <w:r w:rsidRPr="00174D49">
      <w:rPr>
        <w:b/>
        <w:color w:val="auto"/>
        <w:sz w:val="20"/>
        <w:lang w:val="fr-FR"/>
      </w:rPr>
      <w:t xml:space="preserve">  </w:t>
    </w:r>
    <w:r w:rsidRPr="00174D49">
      <w:rPr>
        <w:rFonts w:cs="Arial"/>
        <w:b/>
        <w:color w:val="auto"/>
        <w:sz w:val="20"/>
      </w:rPr>
      <w:t>І</w:t>
    </w:r>
    <w:r w:rsidRPr="00174D49">
      <w:rPr>
        <w:b/>
        <w:color w:val="auto"/>
        <w:sz w:val="20"/>
        <w:lang w:val="fr-FR"/>
      </w:rPr>
      <w:t xml:space="preserve">  Page </w:t>
    </w:r>
    <w:r w:rsidR="00073EEA" w:rsidRPr="00174D49">
      <w:rPr>
        <w:rStyle w:val="Numrodepage"/>
        <w:b/>
        <w:noProof w:val="0"/>
        <w:color w:val="auto"/>
        <w:spacing w:val="0"/>
        <w:sz w:val="20"/>
        <w:lang w:eastAsia="fr-FR"/>
      </w:rPr>
      <w:fldChar w:fldCharType="begin"/>
    </w:r>
    <w:r w:rsidRPr="00174D49">
      <w:rPr>
        <w:rStyle w:val="Numrodepage"/>
        <w:b/>
        <w:noProof w:val="0"/>
        <w:color w:val="auto"/>
        <w:spacing w:val="0"/>
        <w:sz w:val="20"/>
        <w:lang w:val="fr-FR" w:eastAsia="fr-FR"/>
      </w:rPr>
      <w:instrText xml:space="preserve"> PAGE </w:instrText>
    </w:r>
    <w:r w:rsidR="00073EEA" w:rsidRPr="00174D49">
      <w:rPr>
        <w:rStyle w:val="Numrodepage"/>
        <w:b/>
        <w:noProof w:val="0"/>
        <w:color w:val="auto"/>
        <w:spacing w:val="0"/>
        <w:sz w:val="20"/>
        <w:lang w:eastAsia="fr-FR"/>
      </w:rPr>
      <w:fldChar w:fldCharType="separate"/>
    </w:r>
    <w:r w:rsidR="008E1041">
      <w:rPr>
        <w:rStyle w:val="Numrodepage"/>
        <w:b/>
        <w:color w:val="auto"/>
        <w:spacing w:val="0"/>
        <w:sz w:val="20"/>
        <w:lang w:val="fr-FR" w:eastAsia="fr-FR"/>
      </w:rPr>
      <w:t>21</w:t>
    </w:r>
    <w:r w:rsidR="00073EEA" w:rsidRPr="00174D49">
      <w:rPr>
        <w:rStyle w:val="Numrodepage"/>
        <w:b/>
        <w:noProof w:val="0"/>
        <w:color w:val="auto"/>
        <w:spacing w:val="0"/>
        <w:sz w:val="20"/>
        <w:lang w:eastAsia="fr-FR"/>
      </w:rPr>
      <w:fldChar w:fldCharType="end"/>
    </w:r>
    <w:r>
      <w:rPr>
        <w:rStyle w:val="Numrodepage"/>
        <w:b/>
        <w:noProof w:val="0"/>
        <w:color w:val="auto"/>
        <w:spacing w:val="0"/>
        <w:sz w:val="20"/>
        <w:lang w:eastAsia="fr-FR"/>
      </w:rPr>
      <w:t xml:space="preserve">  </w:t>
    </w:r>
  </w:p>
  <w:p w:rsidR="00856114" w:rsidRDefault="00856114">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8810" w:type="dxa"/>
      <w:tblInd w:w="-20" w:type="dxa"/>
      <w:tblCellMar>
        <w:left w:w="70" w:type="dxa"/>
        <w:right w:w="70" w:type="dxa"/>
      </w:tblCellMar>
      <w:tblLook w:val="0000"/>
    </w:tblPr>
    <w:tblGrid>
      <w:gridCol w:w="2950"/>
      <w:gridCol w:w="7930"/>
      <w:gridCol w:w="7930"/>
    </w:tblGrid>
    <w:tr w:rsidR="00856114" w:rsidTr="00176868">
      <w:trPr>
        <w:trHeight w:val="990"/>
      </w:trPr>
      <w:tc>
        <w:tcPr>
          <w:tcW w:w="2250" w:type="dxa"/>
          <w:vAlign w:val="center"/>
        </w:tcPr>
        <w:p w:rsidR="00856114" w:rsidRDefault="00856114">
          <w:pPr>
            <w:ind w:left="20"/>
          </w:pPr>
          <w:r w:rsidRPr="00322DE7">
            <w:rPr>
              <w:noProof/>
              <w:lang w:val="fr-FR" w:eastAsia="zh-CN"/>
            </w:rPr>
            <w:drawing>
              <wp:inline distT="0" distB="0" distL="0" distR="0">
                <wp:extent cx="1752600" cy="1295400"/>
                <wp:effectExtent l="19050" t="0" r="0" b="0"/>
                <wp:docPr id="90" name="Picture 1"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a:stretch>
                          <a:fillRect/>
                        </a:stretch>
                      </pic:blipFill>
                      <pic:spPr bwMode="auto">
                        <a:xfrm>
                          <a:off x="0" y="0"/>
                          <a:ext cx="1752600" cy="1295400"/>
                        </a:xfrm>
                        <a:prstGeom prst="rect">
                          <a:avLst/>
                        </a:prstGeom>
                        <a:noFill/>
                        <a:ln w="9525">
                          <a:noFill/>
                          <a:miter lim="800000"/>
                          <a:headEnd/>
                          <a:tailEnd/>
                        </a:ln>
                      </pic:spPr>
                    </pic:pic>
                  </a:graphicData>
                </a:graphic>
              </wp:inline>
            </w:drawing>
          </w:r>
        </w:p>
      </w:tc>
      <w:tc>
        <w:tcPr>
          <w:tcW w:w="8280" w:type="dxa"/>
          <w:vAlign w:val="center"/>
        </w:tcPr>
        <w:p w:rsidR="00856114" w:rsidRDefault="00856114" w:rsidP="00176868">
          <w:pPr>
            <w:pStyle w:val="PFCServiceName"/>
            <w:rPr>
              <w:sz w:val="24"/>
            </w:rPr>
          </w:pPr>
        </w:p>
      </w:tc>
      <w:tc>
        <w:tcPr>
          <w:tcW w:w="8280" w:type="dxa"/>
          <w:vAlign w:val="center"/>
        </w:tcPr>
        <w:p w:rsidR="00856114" w:rsidRDefault="00856114">
          <w:pPr>
            <w:pStyle w:val="PFCServiceName"/>
            <w:rPr>
              <w:sz w:val="24"/>
            </w:rPr>
          </w:pPr>
        </w:p>
      </w:tc>
    </w:tr>
  </w:tbl>
  <w:p w:rsidR="00856114" w:rsidRDefault="00856114">
    <w:pPr>
      <w:pStyle w:val="En-tte"/>
    </w:pPr>
  </w:p>
  <w:p w:rsidR="00856114" w:rsidRDefault="00856114">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322DE7">
    <w:pPr>
      <w:pStyle w:val="PFCDocTypeDate"/>
      <w:ind w:firstLine="1440"/>
      <w:rPr>
        <w:b/>
        <w:color w:val="auto"/>
        <w:sz w:val="20"/>
        <w:lang w:val="fr-FR"/>
      </w:rPr>
    </w:pPr>
    <w:r w:rsidRPr="00322DE7">
      <w:rPr>
        <w:b/>
        <w:color w:val="auto"/>
        <w:sz w:val="20"/>
        <w:lang w:val="fr-FR" w:eastAsia="zh-CN"/>
      </w:rPr>
      <w:drawing>
        <wp:anchor distT="0" distB="0" distL="114300" distR="114300" simplePos="0" relativeHeight="251664384" behindDoc="1" locked="0" layoutInCell="1" allowOverlap="1">
          <wp:simplePos x="0" y="0"/>
          <wp:positionH relativeFrom="column">
            <wp:posOffset>-111125</wp:posOffset>
          </wp:positionH>
          <wp:positionV relativeFrom="paragraph">
            <wp:posOffset>-149225</wp:posOffset>
          </wp:positionV>
          <wp:extent cx="907415" cy="702310"/>
          <wp:effectExtent l="19050" t="0" r="6985" b="0"/>
          <wp:wrapTight wrapText="bothSides">
            <wp:wrapPolygon edited="0">
              <wp:start x="-453" y="0"/>
              <wp:lineTo x="-453" y="21092"/>
              <wp:lineTo x="21766" y="21092"/>
              <wp:lineTo x="21766" y="0"/>
              <wp:lineTo x="-453" y="0"/>
            </wp:wrapPolygon>
          </wp:wrapTight>
          <wp:docPr id="103" name="Picture 4"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l="11549" t="14074" r="20327" b="17778"/>
                  <a:stretch>
                    <a:fillRect/>
                  </a:stretch>
                </pic:blipFill>
                <pic:spPr bwMode="auto">
                  <a:xfrm>
                    <a:off x="0" y="0"/>
                    <a:ext cx="907415" cy="702310"/>
                  </a:xfrm>
                  <a:prstGeom prst="rect">
                    <a:avLst/>
                  </a:prstGeom>
                  <a:noFill/>
                  <a:ln w="9525">
                    <a:noFill/>
                    <a:miter lim="800000"/>
                    <a:headEnd/>
                    <a:tailEnd/>
                  </a:ln>
                </pic:spPr>
              </pic:pic>
            </a:graphicData>
          </a:graphic>
        </wp:anchor>
      </w:drawing>
    </w:r>
  </w:p>
  <w:p w:rsidR="00856114" w:rsidRPr="00174D49" w:rsidRDefault="00856114" w:rsidP="00322DE7">
    <w:pPr>
      <w:pStyle w:val="PFCDocTypeDate"/>
      <w:ind w:firstLine="1440"/>
      <w:rPr>
        <w:rStyle w:val="Numrodepage"/>
        <w:b/>
        <w:noProof w:val="0"/>
        <w:color w:val="auto"/>
        <w:spacing w:val="0"/>
        <w:sz w:val="20"/>
        <w:lang w:eastAsia="fr-FR"/>
      </w:rPr>
    </w:pPr>
    <w:r>
      <w:rPr>
        <w:b/>
        <w:color w:val="auto"/>
        <w:sz w:val="20"/>
        <w:lang w:val="fr-FR"/>
      </w:rPr>
      <w:tab/>
    </w:r>
    <w:r w:rsidRPr="00174D49">
      <w:rPr>
        <w:b/>
        <w:color w:val="auto"/>
        <w:sz w:val="20"/>
        <w:lang w:val="fr-FR"/>
      </w:rPr>
      <w:t xml:space="preserve">IGU World LNG Report </w:t>
    </w:r>
    <w:r>
      <w:rPr>
        <w:b/>
        <w:color w:val="auto"/>
        <w:sz w:val="20"/>
        <w:lang w:val="fr-FR"/>
      </w:rPr>
      <w:t>–</w:t>
    </w:r>
    <w:r w:rsidRPr="00174D49">
      <w:rPr>
        <w:b/>
        <w:color w:val="auto"/>
        <w:sz w:val="20"/>
        <w:lang w:val="fr-FR"/>
      </w:rPr>
      <w:t xml:space="preserve"> </w:t>
    </w:r>
    <w:r>
      <w:rPr>
        <w:b/>
        <w:color w:val="auto"/>
        <w:sz w:val="20"/>
        <w:lang w:val="fr-FR"/>
      </w:rPr>
      <w:t>2013 Edition</w:t>
    </w:r>
    <w:r w:rsidRPr="00174D49">
      <w:rPr>
        <w:b/>
        <w:color w:val="auto"/>
        <w:sz w:val="20"/>
        <w:lang w:val="fr-FR"/>
      </w:rPr>
      <w:t xml:space="preserve">  </w:t>
    </w:r>
    <w:r w:rsidRPr="00174D49">
      <w:rPr>
        <w:rFonts w:cs="Arial"/>
        <w:b/>
        <w:color w:val="auto"/>
        <w:sz w:val="20"/>
      </w:rPr>
      <w:t>І</w:t>
    </w:r>
    <w:r w:rsidRPr="00174D49">
      <w:rPr>
        <w:b/>
        <w:color w:val="auto"/>
        <w:sz w:val="20"/>
        <w:lang w:val="fr-FR"/>
      </w:rPr>
      <w:t xml:space="preserve">  Page </w:t>
    </w:r>
    <w:r w:rsidR="00073EEA" w:rsidRPr="00174D49">
      <w:rPr>
        <w:rStyle w:val="Numrodepage"/>
        <w:b/>
        <w:noProof w:val="0"/>
        <w:color w:val="auto"/>
        <w:spacing w:val="0"/>
        <w:sz w:val="20"/>
        <w:lang w:eastAsia="fr-FR"/>
      </w:rPr>
      <w:fldChar w:fldCharType="begin"/>
    </w:r>
    <w:r w:rsidRPr="00174D49">
      <w:rPr>
        <w:rStyle w:val="Numrodepage"/>
        <w:b/>
        <w:noProof w:val="0"/>
        <w:color w:val="auto"/>
        <w:spacing w:val="0"/>
        <w:sz w:val="20"/>
        <w:lang w:val="fr-FR" w:eastAsia="fr-FR"/>
      </w:rPr>
      <w:instrText xml:space="preserve"> PAGE </w:instrText>
    </w:r>
    <w:r w:rsidR="00073EEA" w:rsidRPr="00174D49">
      <w:rPr>
        <w:rStyle w:val="Numrodepage"/>
        <w:b/>
        <w:noProof w:val="0"/>
        <w:color w:val="auto"/>
        <w:spacing w:val="0"/>
        <w:sz w:val="20"/>
        <w:lang w:eastAsia="fr-FR"/>
      </w:rPr>
      <w:fldChar w:fldCharType="separate"/>
    </w:r>
    <w:r w:rsidR="008E1041">
      <w:rPr>
        <w:rStyle w:val="Numrodepage"/>
        <w:b/>
        <w:color w:val="auto"/>
        <w:spacing w:val="0"/>
        <w:sz w:val="20"/>
        <w:lang w:val="fr-FR" w:eastAsia="fr-FR"/>
      </w:rPr>
      <w:t>33</w:t>
    </w:r>
    <w:r w:rsidR="00073EEA" w:rsidRPr="00174D49">
      <w:rPr>
        <w:rStyle w:val="Numrodepage"/>
        <w:b/>
        <w:noProof w:val="0"/>
        <w:color w:val="auto"/>
        <w:spacing w:val="0"/>
        <w:sz w:val="20"/>
        <w:lang w:eastAsia="fr-FR"/>
      </w:rPr>
      <w:fldChar w:fldCharType="end"/>
    </w:r>
    <w:r>
      <w:rPr>
        <w:rStyle w:val="Numrodepage"/>
        <w:b/>
        <w:noProof w:val="0"/>
        <w:color w:val="auto"/>
        <w:spacing w:val="0"/>
        <w:sz w:val="20"/>
        <w:lang w:eastAsia="fr-FR"/>
      </w:rPr>
      <w:t xml:space="preserve">  </w:t>
    </w:r>
  </w:p>
  <w:p w:rsidR="00856114" w:rsidRDefault="00856114">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8810" w:type="dxa"/>
      <w:tblInd w:w="-20" w:type="dxa"/>
      <w:tblCellMar>
        <w:left w:w="70" w:type="dxa"/>
        <w:right w:w="70" w:type="dxa"/>
      </w:tblCellMar>
      <w:tblLook w:val="0000"/>
    </w:tblPr>
    <w:tblGrid>
      <w:gridCol w:w="2950"/>
      <w:gridCol w:w="7930"/>
      <w:gridCol w:w="7930"/>
    </w:tblGrid>
    <w:tr w:rsidR="00856114" w:rsidTr="00176868">
      <w:trPr>
        <w:trHeight w:val="990"/>
      </w:trPr>
      <w:tc>
        <w:tcPr>
          <w:tcW w:w="2250" w:type="dxa"/>
          <w:vAlign w:val="center"/>
        </w:tcPr>
        <w:p w:rsidR="00856114" w:rsidRDefault="00856114">
          <w:pPr>
            <w:ind w:left="20"/>
          </w:pPr>
          <w:r w:rsidRPr="00322DE7">
            <w:rPr>
              <w:noProof/>
              <w:lang w:val="fr-FR" w:eastAsia="zh-CN"/>
            </w:rPr>
            <w:drawing>
              <wp:inline distT="0" distB="0" distL="0" distR="0">
                <wp:extent cx="1752600" cy="1295400"/>
                <wp:effectExtent l="19050" t="0" r="0" b="0"/>
                <wp:docPr id="104" name="Picture 1"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a:stretch>
                          <a:fillRect/>
                        </a:stretch>
                      </pic:blipFill>
                      <pic:spPr bwMode="auto">
                        <a:xfrm>
                          <a:off x="0" y="0"/>
                          <a:ext cx="1752600" cy="1295400"/>
                        </a:xfrm>
                        <a:prstGeom prst="rect">
                          <a:avLst/>
                        </a:prstGeom>
                        <a:noFill/>
                        <a:ln w="9525">
                          <a:noFill/>
                          <a:miter lim="800000"/>
                          <a:headEnd/>
                          <a:tailEnd/>
                        </a:ln>
                      </pic:spPr>
                    </pic:pic>
                  </a:graphicData>
                </a:graphic>
              </wp:inline>
            </w:drawing>
          </w:r>
        </w:p>
      </w:tc>
      <w:tc>
        <w:tcPr>
          <w:tcW w:w="8280" w:type="dxa"/>
          <w:vAlign w:val="center"/>
        </w:tcPr>
        <w:p w:rsidR="00856114" w:rsidRDefault="00856114" w:rsidP="00176868">
          <w:pPr>
            <w:pStyle w:val="PFCServiceName"/>
            <w:rPr>
              <w:sz w:val="24"/>
            </w:rPr>
          </w:pPr>
        </w:p>
      </w:tc>
      <w:tc>
        <w:tcPr>
          <w:tcW w:w="8280" w:type="dxa"/>
          <w:vAlign w:val="center"/>
        </w:tcPr>
        <w:p w:rsidR="00856114" w:rsidRDefault="00856114">
          <w:pPr>
            <w:pStyle w:val="PFCServiceName"/>
            <w:rPr>
              <w:sz w:val="24"/>
            </w:rPr>
          </w:pPr>
        </w:p>
      </w:tc>
    </w:tr>
  </w:tbl>
  <w:p w:rsidR="00856114" w:rsidRDefault="00856114">
    <w:pPr>
      <w:pStyle w:val="En-tte"/>
    </w:pPr>
  </w:p>
  <w:p w:rsidR="00856114" w:rsidRDefault="00856114">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6114" w:rsidRDefault="00856114" w:rsidP="00322DE7">
    <w:pPr>
      <w:pStyle w:val="PFCDocTypeDate"/>
      <w:ind w:firstLine="1440"/>
      <w:rPr>
        <w:b/>
        <w:color w:val="auto"/>
        <w:sz w:val="20"/>
        <w:lang w:val="fr-FR"/>
      </w:rPr>
    </w:pPr>
    <w:r w:rsidRPr="00322DE7">
      <w:rPr>
        <w:b/>
        <w:color w:val="auto"/>
        <w:sz w:val="20"/>
        <w:lang w:val="fr-FR" w:eastAsia="zh-CN"/>
      </w:rPr>
      <w:drawing>
        <wp:anchor distT="0" distB="0" distL="114300" distR="114300" simplePos="0" relativeHeight="251666432" behindDoc="1" locked="0" layoutInCell="1" allowOverlap="1">
          <wp:simplePos x="0" y="0"/>
          <wp:positionH relativeFrom="column">
            <wp:posOffset>-111125</wp:posOffset>
          </wp:positionH>
          <wp:positionV relativeFrom="paragraph">
            <wp:posOffset>-149225</wp:posOffset>
          </wp:positionV>
          <wp:extent cx="907415" cy="702310"/>
          <wp:effectExtent l="19050" t="0" r="6985" b="0"/>
          <wp:wrapTight wrapText="bothSides">
            <wp:wrapPolygon edited="0">
              <wp:start x="-453" y="0"/>
              <wp:lineTo x="-453" y="21092"/>
              <wp:lineTo x="21766" y="21092"/>
              <wp:lineTo x="21766" y="0"/>
              <wp:lineTo x="-453" y="0"/>
            </wp:wrapPolygon>
          </wp:wrapTight>
          <wp:docPr id="140" name="Picture 4"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l="11549" t="14074" r="20327" b="17778"/>
                  <a:stretch>
                    <a:fillRect/>
                  </a:stretch>
                </pic:blipFill>
                <pic:spPr bwMode="auto">
                  <a:xfrm>
                    <a:off x="0" y="0"/>
                    <a:ext cx="907415" cy="702310"/>
                  </a:xfrm>
                  <a:prstGeom prst="rect">
                    <a:avLst/>
                  </a:prstGeom>
                  <a:noFill/>
                  <a:ln w="9525">
                    <a:noFill/>
                    <a:miter lim="800000"/>
                    <a:headEnd/>
                    <a:tailEnd/>
                  </a:ln>
                </pic:spPr>
              </pic:pic>
            </a:graphicData>
          </a:graphic>
        </wp:anchor>
      </w:drawing>
    </w:r>
  </w:p>
  <w:p w:rsidR="00856114" w:rsidRPr="00174D49" w:rsidRDefault="00856114" w:rsidP="00322DE7">
    <w:pPr>
      <w:pStyle w:val="PFCDocTypeDate"/>
      <w:ind w:firstLine="1440"/>
      <w:rPr>
        <w:rStyle w:val="Numrodepage"/>
        <w:b/>
        <w:noProof w:val="0"/>
        <w:color w:val="auto"/>
        <w:spacing w:val="0"/>
        <w:sz w:val="20"/>
        <w:lang w:eastAsia="fr-FR"/>
      </w:rPr>
    </w:pPr>
    <w:r>
      <w:rPr>
        <w:b/>
        <w:color w:val="auto"/>
        <w:sz w:val="20"/>
        <w:lang w:val="fr-FR"/>
      </w:rPr>
      <w:tab/>
    </w:r>
    <w:r w:rsidRPr="00174D49">
      <w:rPr>
        <w:b/>
        <w:color w:val="auto"/>
        <w:sz w:val="20"/>
        <w:lang w:val="fr-FR"/>
      </w:rPr>
      <w:t xml:space="preserve">IGU World LNG Report </w:t>
    </w:r>
    <w:r>
      <w:rPr>
        <w:b/>
        <w:color w:val="auto"/>
        <w:sz w:val="20"/>
        <w:lang w:val="fr-FR"/>
      </w:rPr>
      <w:t>–</w:t>
    </w:r>
    <w:r w:rsidRPr="00174D49">
      <w:rPr>
        <w:b/>
        <w:color w:val="auto"/>
        <w:sz w:val="20"/>
        <w:lang w:val="fr-FR"/>
      </w:rPr>
      <w:t xml:space="preserve"> </w:t>
    </w:r>
    <w:r>
      <w:rPr>
        <w:b/>
        <w:color w:val="auto"/>
        <w:sz w:val="20"/>
        <w:lang w:val="fr-FR"/>
      </w:rPr>
      <w:t>2013 Edition</w:t>
    </w:r>
    <w:r w:rsidRPr="00174D49">
      <w:rPr>
        <w:b/>
        <w:color w:val="auto"/>
        <w:sz w:val="20"/>
        <w:lang w:val="fr-FR"/>
      </w:rPr>
      <w:t xml:space="preserve">  </w:t>
    </w:r>
    <w:r w:rsidRPr="00174D49">
      <w:rPr>
        <w:rFonts w:cs="Arial"/>
        <w:b/>
        <w:color w:val="auto"/>
        <w:sz w:val="20"/>
      </w:rPr>
      <w:t>І</w:t>
    </w:r>
    <w:r w:rsidRPr="00174D49">
      <w:rPr>
        <w:b/>
        <w:color w:val="auto"/>
        <w:sz w:val="20"/>
        <w:lang w:val="fr-FR"/>
      </w:rPr>
      <w:t xml:space="preserve">  Page </w:t>
    </w:r>
    <w:r w:rsidR="00073EEA" w:rsidRPr="00174D49">
      <w:rPr>
        <w:rStyle w:val="Numrodepage"/>
        <w:b/>
        <w:noProof w:val="0"/>
        <w:color w:val="auto"/>
        <w:spacing w:val="0"/>
        <w:sz w:val="20"/>
        <w:lang w:eastAsia="fr-FR"/>
      </w:rPr>
      <w:fldChar w:fldCharType="begin"/>
    </w:r>
    <w:r w:rsidRPr="00174D49">
      <w:rPr>
        <w:rStyle w:val="Numrodepage"/>
        <w:b/>
        <w:noProof w:val="0"/>
        <w:color w:val="auto"/>
        <w:spacing w:val="0"/>
        <w:sz w:val="20"/>
        <w:lang w:val="fr-FR" w:eastAsia="fr-FR"/>
      </w:rPr>
      <w:instrText xml:space="preserve"> PAGE </w:instrText>
    </w:r>
    <w:r w:rsidR="00073EEA" w:rsidRPr="00174D49">
      <w:rPr>
        <w:rStyle w:val="Numrodepage"/>
        <w:b/>
        <w:noProof w:val="0"/>
        <w:color w:val="auto"/>
        <w:spacing w:val="0"/>
        <w:sz w:val="20"/>
        <w:lang w:eastAsia="fr-FR"/>
      </w:rPr>
      <w:fldChar w:fldCharType="separate"/>
    </w:r>
    <w:r w:rsidR="008E1041">
      <w:rPr>
        <w:rStyle w:val="Numrodepage"/>
        <w:b/>
        <w:color w:val="auto"/>
        <w:spacing w:val="0"/>
        <w:sz w:val="20"/>
        <w:lang w:val="fr-FR" w:eastAsia="fr-FR"/>
      </w:rPr>
      <w:t>34</w:t>
    </w:r>
    <w:r w:rsidR="00073EEA" w:rsidRPr="00174D49">
      <w:rPr>
        <w:rStyle w:val="Numrodepage"/>
        <w:b/>
        <w:noProof w:val="0"/>
        <w:color w:val="auto"/>
        <w:spacing w:val="0"/>
        <w:sz w:val="20"/>
        <w:lang w:eastAsia="fr-FR"/>
      </w:rPr>
      <w:fldChar w:fldCharType="end"/>
    </w:r>
    <w:r>
      <w:rPr>
        <w:rStyle w:val="Numrodepage"/>
        <w:b/>
        <w:noProof w:val="0"/>
        <w:color w:val="auto"/>
        <w:spacing w:val="0"/>
        <w:sz w:val="20"/>
        <w:lang w:eastAsia="fr-FR"/>
      </w:rPr>
      <w:t xml:space="preserve">  </w:t>
    </w:r>
  </w:p>
  <w:p w:rsidR="00856114" w:rsidRDefault="00856114">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8810" w:type="dxa"/>
      <w:tblInd w:w="-20" w:type="dxa"/>
      <w:tblCellMar>
        <w:left w:w="70" w:type="dxa"/>
        <w:right w:w="70" w:type="dxa"/>
      </w:tblCellMar>
      <w:tblLook w:val="0000"/>
    </w:tblPr>
    <w:tblGrid>
      <w:gridCol w:w="2950"/>
      <w:gridCol w:w="7930"/>
      <w:gridCol w:w="7930"/>
    </w:tblGrid>
    <w:tr w:rsidR="00856114" w:rsidTr="00176868">
      <w:trPr>
        <w:trHeight w:val="990"/>
      </w:trPr>
      <w:tc>
        <w:tcPr>
          <w:tcW w:w="2250" w:type="dxa"/>
          <w:vAlign w:val="center"/>
        </w:tcPr>
        <w:p w:rsidR="00856114" w:rsidRDefault="00856114">
          <w:pPr>
            <w:ind w:left="20"/>
          </w:pPr>
          <w:r w:rsidRPr="00322DE7">
            <w:rPr>
              <w:noProof/>
              <w:lang w:val="fr-FR" w:eastAsia="zh-CN"/>
            </w:rPr>
            <w:drawing>
              <wp:inline distT="0" distB="0" distL="0" distR="0">
                <wp:extent cx="1752600" cy="1295400"/>
                <wp:effectExtent l="19050" t="0" r="0" b="0"/>
                <wp:docPr id="141" name="Picture 1" descr="C:\Users\KZ1058\AppData\Local\Microsoft\Windows\Temporary Internet Files\Content.Outlook\ADWZTOLY\1_New IGU logo.jpg"/>
                <wp:cNvGraphicFramePr/>
                <a:graphic xmlns:a="http://schemas.openxmlformats.org/drawingml/2006/main">
                  <a:graphicData uri="http://schemas.openxmlformats.org/drawingml/2006/picture">
                    <pic:pic xmlns:pic="http://schemas.openxmlformats.org/drawingml/2006/picture">
                      <pic:nvPicPr>
                        <pic:cNvPr id="8" name="Picture 7" descr="C:\Users\KZ1058\AppData\Local\Microsoft\Windows\Temporary Internet Files\Content.Outlook\ADWZTOLY\1_New IGU logo.jpg"/>
                        <pic:cNvPicPr/>
                      </pic:nvPicPr>
                      <pic:blipFill>
                        <a:blip r:embed="rId1" cstate="print"/>
                        <a:srcRect/>
                        <a:stretch>
                          <a:fillRect/>
                        </a:stretch>
                      </pic:blipFill>
                      <pic:spPr bwMode="auto">
                        <a:xfrm>
                          <a:off x="0" y="0"/>
                          <a:ext cx="1752600" cy="1295400"/>
                        </a:xfrm>
                        <a:prstGeom prst="rect">
                          <a:avLst/>
                        </a:prstGeom>
                        <a:noFill/>
                        <a:ln w="9525">
                          <a:noFill/>
                          <a:miter lim="800000"/>
                          <a:headEnd/>
                          <a:tailEnd/>
                        </a:ln>
                      </pic:spPr>
                    </pic:pic>
                  </a:graphicData>
                </a:graphic>
              </wp:inline>
            </w:drawing>
          </w:r>
        </w:p>
      </w:tc>
      <w:tc>
        <w:tcPr>
          <w:tcW w:w="8280" w:type="dxa"/>
          <w:vAlign w:val="center"/>
        </w:tcPr>
        <w:p w:rsidR="00856114" w:rsidRDefault="00856114" w:rsidP="00176868">
          <w:pPr>
            <w:pStyle w:val="PFCServiceName"/>
            <w:rPr>
              <w:sz w:val="24"/>
            </w:rPr>
          </w:pPr>
        </w:p>
      </w:tc>
      <w:tc>
        <w:tcPr>
          <w:tcW w:w="8280" w:type="dxa"/>
          <w:vAlign w:val="center"/>
        </w:tcPr>
        <w:p w:rsidR="00856114" w:rsidRDefault="00856114">
          <w:pPr>
            <w:pStyle w:val="PFCServiceName"/>
            <w:rPr>
              <w:sz w:val="24"/>
            </w:rPr>
          </w:pPr>
        </w:p>
      </w:tc>
    </w:tr>
  </w:tbl>
  <w:p w:rsidR="00856114" w:rsidRDefault="00856114">
    <w:pPr>
      <w:pStyle w:val="En-tte"/>
    </w:pPr>
  </w:p>
  <w:p w:rsidR="00856114" w:rsidRDefault="00856114">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2710B"/>
    <w:multiLevelType w:val="hybridMultilevel"/>
    <w:tmpl w:val="428420C0"/>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1">
    <w:nsid w:val="05221D0D"/>
    <w:multiLevelType w:val="hybridMultilevel"/>
    <w:tmpl w:val="880EE11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072120F2"/>
    <w:multiLevelType w:val="hybridMultilevel"/>
    <w:tmpl w:val="8B9C66DA"/>
    <w:lvl w:ilvl="0" w:tplc="544AEACC">
      <w:start w:val="1"/>
      <w:numFmt w:val="decimal"/>
      <w:lvlText w:val="%1."/>
      <w:lvlJc w:val="left"/>
      <w:pPr>
        <w:ind w:left="540" w:hanging="360"/>
      </w:pPr>
      <w:rPr>
        <w:rFonts w:hint="default"/>
        <w:color w:val="auto"/>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nsid w:val="089C6787"/>
    <w:multiLevelType w:val="hybridMultilevel"/>
    <w:tmpl w:val="13F05DE0"/>
    <w:lvl w:ilvl="0" w:tplc="7B26C0BA">
      <w:start w:val="4"/>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B70226"/>
    <w:multiLevelType w:val="hybridMultilevel"/>
    <w:tmpl w:val="972C1AC8"/>
    <w:lvl w:ilvl="0" w:tplc="7102B678">
      <w:numFmt w:val="bullet"/>
      <w:lvlText w:val=""/>
      <w:lvlJc w:val="left"/>
      <w:pPr>
        <w:ind w:left="540" w:hanging="360"/>
      </w:pPr>
      <w:rPr>
        <w:rFonts w:ascii="Symbol" w:eastAsia="SimSun"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
    <w:nsid w:val="0FD17BA7"/>
    <w:multiLevelType w:val="multilevel"/>
    <w:tmpl w:val="E95E5B88"/>
    <w:styleLink w:val="PFCBulletedList"/>
    <w:lvl w:ilvl="0">
      <w:start w:val="1"/>
      <w:numFmt w:val="bullet"/>
      <w:lvlText w:val=""/>
      <w:lvlJc w:val="left"/>
      <w:pPr>
        <w:ind w:left="720" w:hanging="360"/>
      </w:pPr>
      <w:rPr>
        <w:rFonts w:ascii="Wingdings" w:hAnsi="Wingding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160" w:hanging="360"/>
      </w:pPr>
      <w:rPr>
        <w:rFonts w:ascii="Courier New" w:hAnsi="Courier New"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Symbol" w:hAnsi="Symbol" w:hint="default"/>
      </w:rPr>
    </w:lvl>
    <w:lvl w:ilvl="7">
      <w:start w:val="1"/>
      <w:numFmt w:val="bullet"/>
      <w:lvlText w:val="o"/>
      <w:lvlJc w:val="left"/>
      <w:pPr>
        <w:ind w:left="3240" w:hanging="360"/>
      </w:pPr>
      <w:rPr>
        <w:rFonts w:ascii="Courier New" w:hAnsi="Courier New" w:hint="default"/>
      </w:rPr>
    </w:lvl>
    <w:lvl w:ilvl="8">
      <w:start w:val="1"/>
      <w:numFmt w:val="bullet"/>
      <w:lvlText w:val=""/>
      <w:lvlJc w:val="left"/>
      <w:pPr>
        <w:ind w:left="3600" w:hanging="360"/>
      </w:pPr>
      <w:rPr>
        <w:rFonts w:ascii="Wingdings" w:hAnsi="Wingdings" w:hint="default"/>
      </w:rPr>
    </w:lvl>
  </w:abstractNum>
  <w:abstractNum w:abstractNumId="6">
    <w:nsid w:val="10BD4EE8"/>
    <w:multiLevelType w:val="hybridMultilevel"/>
    <w:tmpl w:val="592A15C4"/>
    <w:lvl w:ilvl="0" w:tplc="049E73A0">
      <w:start w:val="4"/>
      <w:numFmt w:val="bullet"/>
      <w:lvlText w:val=""/>
      <w:lvlJc w:val="left"/>
      <w:pPr>
        <w:ind w:left="540" w:hanging="360"/>
      </w:pPr>
      <w:rPr>
        <w:rFonts w:ascii="Symbol" w:eastAsia="SimSun"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7">
    <w:nsid w:val="122D79B9"/>
    <w:multiLevelType w:val="hybridMultilevel"/>
    <w:tmpl w:val="E6BC5298"/>
    <w:lvl w:ilvl="0" w:tplc="228EE31C">
      <w:start w:val="1"/>
      <w:numFmt w:val="decimal"/>
      <w:lvlText w:val="%1."/>
      <w:lvlJc w:val="left"/>
      <w:pPr>
        <w:ind w:left="900" w:hanging="360"/>
      </w:pPr>
      <w:rPr>
        <w:b/>
        <w:color w:val="auto"/>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123A63A6"/>
    <w:multiLevelType w:val="hybridMultilevel"/>
    <w:tmpl w:val="2B48E2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30517E"/>
    <w:multiLevelType w:val="hybridMultilevel"/>
    <w:tmpl w:val="942CC32C"/>
    <w:lvl w:ilvl="0" w:tplc="2FDECEF8">
      <w:start w:val="8"/>
      <w:numFmt w:val="bullet"/>
      <w:lvlText w:val="-"/>
      <w:lvlJc w:val="left"/>
      <w:pPr>
        <w:ind w:left="900" w:hanging="360"/>
      </w:pPr>
      <w:rPr>
        <w:rFonts w:ascii="Arial" w:eastAsia="SimSun" w:hAnsi="Arial" w:cs="Aria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nsid w:val="148A1BA1"/>
    <w:multiLevelType w:val="hybridMultilevel"/>
    <w:tmpl w:val="C8DAD82C"/>
    <w:lvl w:ilvl="0" w:tplc="040C0011">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1">
    <w:nsid w:val="1A7D545B"/>
    <w:multiLevelType w:val="hybridMultilevel"/>
    <w:tmpl w:val="C94C1D8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nsid w:val="1E7C20DD"/>
    <w:multiLevelType w:val="hybridMultilevel"/>
    <w:tmpl w:val="FFF03C32"/>
    <w:lvl w:ilvl="0" w:tplc="A6C09FEC">
      <w:start w:val="1"/>
      <w:numFmt w:val="bullet"/>
      <w:lvlText w:val=""/>
      <w:lvlJc w:val="left"/>
      <w:pPr>
        <w:ind w:left="900" w:hanging="360"/>
      </w:pPr>
      <w:rPr>
        <w:rFonts w:ascii="Wingdings" w:hAnsi="Wingdings" w:hint="default"/>
        <w:color w:val="80808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nsid w:val="1F680EA8"/>
    <w:multiLevelType w:val="hybridMultilevel"/>
    <w:tmpl w:val="2E04B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D07451"/>
    <w:multiLevelType w:val="hybridMultilevel"/>
    <w:tmpl w:val="537E9DFA"/>
    <w:lvl w:ilvl="0" w:tplc="D83E4C5E">
      <w:start w:val="1"/>
      <w:numFmt w:val="lowerRoman"/>
      <w:lvlText w:val="(%1)"/>
      <w:lvlJc w:val="left"/>
      <w:pPr>
        <w:tabs>
          <w:tab w:val="num" w:pos="1647"/>
        </w:tabs>
        <w:ind w:left="1647" w:hanging="720"/>
      </w:pPr>
      <w:rPr>
        <w:rFonts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5">
    <w:nsid w:val="27C56332"/>
    <w:multiLevelType w:val="hybridMultilevel"/>
    <w:tmpl w:val="C1EAC9C6"/>
    <w:lvl w:ilvl="0" w:tplc="04090005">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2A5E0571"/>
    <w:multiLevelType w:val="hybridMultilevel"/>
    <w:tmpl w:val="B12C8960"/>
    <w:lvl w:ilvl="0" w:tplc="C6CAACEC">
      <w:start w:val="1"/>
      <w:numFmt w:val="bullet"/>
      <w:pStyle w:val="PFCbullets04"/>
      <w:lvlText w:val=""/>
      <w:lvlJc w:val="left"/>
      <w:pPr>
        <w:tabs>
          <w:tab w:val="num" w:pos="2340"/>
        </w:tabs>
        <w:ind w:left="2340" w:hanging="360"/>
      </w:pPr>
      <w:rPr>
        <w:rFonts w:ascii="Wingdings" w:hAnsi="Wingdings" w:hint="default"/>
        <w:color w:val="999999"/>
        <w:u w:color="FFFFFF"/>
      </w:rPr>
    </w:lvl>
    <w:lvl w:ilvl="1" w:tplc="FB720B82">
      <w:start w:val="1"/>
      <w:numFmt w:val="bullet"/>
      <w:lvlText w:val=""/>
      <w:lvlJc w:val="left"/>
      <w:pPr>
        <w:tabs>
          <w:tab w:val="num" w:pos="1595"/>
        </w:tabs>
        <w:ind w:left="1595" w:hanging="515"/>
      </w:pPr>
      <w:rPr>
        <w:rFonts w:ascii="Wingdings 2" w:hAnsi="Wingdings 2" w:hint="default"/>
        <w:b/>
        <w:i w:val="0"/>
        <w:color w:val="999988"/>
        <w:sz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E2D1E03"/>
    <w:multiLevelType w:val="hybridMultilevel"/>
    <w:tmpl w:val="24C601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E00925"/>
    <w:multiLevelType w:val="hybridMultilevel"/>
    <w:tmpl w:val="15C469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6C85E8B"/>
    <w:multiLevelType w:val="hybridMultilevel"/>
    <w:tmpl w:val="A72260E2"/>
    <w:lvl w:ilvl="0" w:tplc="3DFEB1EE">
      <w:start w:val="1"/>
      <w:numFmt w:val="bullet"/>
      <w:lvlText w:val="■"/>
      <w:lvlJc w:val="left"/>
      <w:pPr>
        <w:ind w:left="900" w:hanging="360"/>
      </w:pPr>
      <w:rPr>
        <w:rFonts w:ascii="Arial" w:hAnsi="Aria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
    <w:nsid w:val="38500671"/>
    <w:multiLevelType w:val="multilevel"/>
    <w:tmpl w:val="E95E5B88"/>
    <w:numStyleLink w:val="PFCBulletedList"/>
  </w:abstractNum>
  <w:abstractNum w:abstractNumId="21">
    <w:nsid w:val="396C1ADF"/>
    <w:multiLevelType w:val="hybridMultilevel"/>
    <w:tmpl w:val="428420C0"/>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22">
    <w:nsid w:val="3AC274C2"/>
    <w:multiLevelType w:val="hybridMultilevel"/>
    <w:tmpl w:val="15D262E0"/>
    <w:lvl w:ilvl="0" w:tplc="371481E0">
      <w:start w:val="4"/>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B12A2E"/>
    <w:multiLevelType w:val="hybridMultilevel"/>
    <w:tmpl w:val="CEF4E0A0"/>
    <w:lvl w:ilvl="0" w:tplc="42F88472">
      <w:start w:val="1"/>
      <w:numFmt w:val="decimal"/>
      <w:lvlText w:val="%1."/>
      <w:lvlJc w:val="left"/>
      <w:pPr>
        <w:ind w:left="945"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D57687F"/>
    <w:multiLevelType w:val="hybridMultilevel"/>
    <w:tmpl w:val="81ECB70C"/>
    <w:lvl w:ilvl="0" w:tplc="5D76FEA4">
      <w:numFmt w:val="bullet"/>
      <w:lvlText w:val=""/>
      <w:lvlJc w:val="left"/>
      <w:pPr>
        <w:ind w:left="540" w:hanging="360"/>
      </w:pPr>
      <w:rPr>
        <w:rFonts w:ascii="Symbol" w:eastAsia="SimSun"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5">
    <w:nsid w:val="424D4ACE"/>
    <w:multiLevelType w:val="hybridMultilevel"/>
    <w:tmpl w:val="F4702C50"/>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6">
    <w:nsid w:val="42AC037D"/>
    <w:multiLevelType w:val="hybridMultilevel"/>
    <w:tmpl w:val="93F46E7A"/>
    <w:lvl w:ilvl="0" w:tplc="78EC7C56">
      <w:start w:val="4"/>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AC735D"/>
    <w:multiLevelType w:val="hybridMultilevel"/>
    <w:tmpl w:val="2A9878C0"/>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nsid w:val="493945A3"/>
    <w:multiLevelType w:val="hybridMultilevel"/>
    <w:tmpl w:val="443E4BF4"/>
    <w:lvl w:ilvl="0" w:tplc="68D08E52">
      <w:start w:val="1"/>
      <w:numFmt w:val="decimal"/>
      <w:lvlText w:val="%1."/>
      <w:lvlJc w:val="left"/>
      <w:pPr>
        <w:ind w:left="945" w:hanging="360"/>
      </w:pPr>
      <w:rPr>
        <w:b w:val="0"/>
        <w:color w:val="auto"/>
      </w:r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29">
    <w:nsid w:val="49AB698F"/>
    <w:multiLevelType w:val="hybridMultilevel"/>
    <w:tmpl w:val="D958A460"/>
    <w:lvl w:ilvl="0" w:tplc="A00C9BF2">
      <w:start w:val="1"/>
      <w:numFmt w:val="bullet"/>
      <w:lvlText w:val=""/>
      <w:lvlJc w:val="left"/>
      <w:pPr>
        <w:tabs>
          <w:tab w:val="num" w:pos="720"/>
        </w:tabs>
        <w:ind w:left="720" w:hanging="360"/>
      </w:pPr>
      <w:rPr>
        <w:rFonts w:ascii="Wingdings" w:hAnsi="Wingdings" w:hint="default"/>
      </w:rPr>
    </w:lvl>
    <w:lvl w:ilvl="1" w:tplc="37DE8A3A" w:tentative="1">
      <w:start w:val="1"/>
      <w:numFmt w:val="bullet"/>
      <w:lvlText w:val=""/>
      <w:lvlJc w:val="left"/>
      <w:pPr>
        <w:tabs>
          <w:tab w:val="num" w:pos="1440"/>
        </w:tabs>
        <w:ind w:left="1440" w:hanging="360"/>
      </w:pPr>
      <w:rPr>
        <w:rFonts w:ascii="Wingdings" w:hAnsi="Wingdings" w:hint="default"/>
      </w:rPr>
    </w:lvl>
    <w:lvl w:ilvl="2" w:tplc="7C986DA2" w:tentative="1">
      <w:start w:val="1"/>
      <w:numFmt w:val="bullet"/>
      <w:lvlText w:val=""/>
      <w:lvlJc w:val="left"/>
      <w:pPr>
        <w:tabs>
          <w:tab w:val="num" w:pos="2160"/>
        </w:tabs>
        <w:ind w:left="2160" w:hanging="360"/>
      </w:pPr>
      <w:rPr>
        <w:rFonts w:ascii="Wingdings" w:hAnsi="Wingdings" w:hint="default"/>
      </w:rPr>
    </w:lvl>
    <w:lvl w:ilvl="3" w:tplc="4F9A1C96" w:tentative="1">
      <w:start w:val="1"/>
      <w:numFmt w:val="bullet"/>
      <w:lvlText w:val=""/>
      <w:lvlJc w:val="left"/>
      <w:pPr>
        <w:tabs>
          <w:tab w:val="num" w:pos="2880"/>
        </w:tabs>
        <w:ind w:left="2880" w:hanging="360"/>
      </w:pPr>
      <w:rPr>
        <w:rFonts w:ascii="Wingdings" w:hAnsi="Wingdings" w:hint="default"/>
      </w:rPr>
    </w:lvl>
    <w:lvl w:ilvl="4" w:tplc="18BA1D9C" w:tentative="1">
      <w:start w:val="1"/>
      <w:numFmt w:val="bullet"/>
      <w:lvlText w:val=""/>
      <w:lvlJc w:val="left"/>
      <w:pPr>
        <w:tabs>
          <w:tab w:val="num" w:pos="3600"/>
        </w:tabs>
        <w:ind w:left="3600" w:hanging="360"/>
      </w:pPr>
      <w:rPr>
        <w:rFonts w:ascii="Wingdings" w:hAnsi="Wingdings" w:hint="default"/>
      </w:rPr>
    </w:lvl>
    <w:lvl w:ilvl="5" w:tplc="4C2A4BC8" w:tentative="1">
      <w:start w:val="1"/>
      <w:numFmt w:val="bullet"/>
      <w:lvlText w:val=""/>
      <w:lvlJc w:val="left"/>
      <w:pPr>
        <w:tabs>
          <w:tab w:val="num" w:pos="4320"/>
        </w:tabs>
        <w:ind w:left="4320" w:hanging="360"/>
      </w:pPr>
      <w:rPr>
        <w:rFonts w:ascii="Wingdings" w:hAnsi="Wingdings" w:hint="default"/>
      </w:rPr>
    </w:lvl>
    <w:lvl w:ilvl="6" w:tplc="B7A4A1A0" w:tentative="1">
      <w:start w:val="1"/>
      <w:numFmt w:val="bullet"/>
      <w:lvlText w:val=""/>
      <w:lvlJc w:val="left"/>
      <w:pPr>
        <w:tabs>
          <w:tab w:val="num" w:pos="5040"/>
        </w:tabs>
        <w:ind w:left="5040" w:hanging="360"/>
      </w:pPr>
      <w:rPr>
        <w:rFonts w:ascii="Wingdings" w:hAnsi="Wingdings" w:hint="default"/>
      </w:rPr>
    </w:lvl>
    <w:lvl w:ilvl="7" w:tplc="FC90CC4E" w:tentative="1">
      <w:start w:val="1"/>
      <w:numFmt w:val="bullet"/>
      <w:lvlText w:val=""/>
      <w:lvlJc w:val="left"/>
      <w:pPr>
        <w:tabs>
          <w:tab w:val="num" w:pos="5760"/>
        </w:tabs>
        <w:ind w:left="5760" w:hanging="360"/>
      </w:pPr>
      <w:rPr>
        <w:rFonts w:ascii="Wingdings" w:hAnsi="Wingdings" w:hint="default"/>
      </w:rPr>
    </w:lvl>
    <w:lvl w:ilvl="8" w:tplc="73D8C858" w:tentative="1">
      <w:start w:val="1"/>
      <w:numFmt w:val="bullet"/>
      <w:lvlText w:val=""/>
      <w:lvlJc w:val="left"/>
      <w:pPr>
        <w:tabs>
          <w:tab w:val="num" w:pos="6480"/>
        </w:tabs>
        <w:ind w:left="6480" w:hanging="360"/>
      </w:pPr>
      <w:rPr>
        <w:rFonts w:ascii="Wingdings" w:hAnsi="Wingdings" w:hint="default"/>
      </w:rPr>
    </w:lvl>
  </w:abstractNum>
  <w:abstractNum w:abstractNumId="30">
    <w:nsid w:val="4B326F3C"/>
    <w:multiLevelType w:val="hybridMultilevel"/>
    <w:tmpl w:val="0094809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4D6C5AE3"/>
    <w:multiLevelType w:val="hybridMultilevel"/>
    <w:tmpl w:val="0654351A"/>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32">
    <w:nsid w:val="50453E78"/>
    <w:multiLevelType w:val="hybridMultilevel"/>
    <w:tmpl w:val="F4FC1F72"/>
    <w:lvl w:ilvl="0" w:tplc="56682A2E">
      <w:start w:val="1"/>
      <w:numFmt w:val="bullet"/>
      <w:pStyle w:val="PFCbullets204"/>
      <w:lvlText w:val=""/>
      <w:lvlJc w:val="left"/>
      <w:pPr>
        <w:tabs>
          <w:tab w:val="num" w:pos="936"/>
        </w:tabs>
        <w:ind w:left="864" w:hanging="288"/>
      </w:pPr>
      <w:rPr>
        <w:rFonts w:ascii="Symbol" w:hAnsi="Symbol" w:hint="default"/>
      </w:rPr>
    </w:lvl>
    <w:lvl w:ilvl="1" w:tplc="040C0003" w:tentative="1">
      <w:start w:val="1"/>
      <w:numFmt w:val="bullet"/>
      <w:lvlText w:val="o"/>
      <w:lvlJc w:val="left"/>
      <w:pPr>
        <w:tabs>
          <w:tab w:val="num" w:pos="2016"/>
        </w:tabs>
        <w:ind w:left="2016" w:hanging="360"/>
      </w:pPr>
      <w:rPr>
        <w:rFonts w:ascii="Courier New" w:hAnsi="Courier New" w:hint="default"/>
      </w:rPr>
    </w:lvl>
    <w:lvl w:ilvl="2" w:tplc="040C0005" w:tentative="1">
      <w:start w:val="1"/>
      <w:numFmt w:val="bullet"/>
      <w:lvlText w:val=""/>
      <w:lvlJc w:val="left"/>
      <w:pPr>
        <w:tabs>
          <w:tab w:val="num" w:pos="2736"/>
        </w:tabs>
        <w:ind w:left="2736" w:hanging="360"/>
      </w:pPr>
      <w:rPr>
        <w:rFonts w:ascii="Wingdings" w:hAnsi="Wingdings" w:hint="default"/>
      </w:rPr>
    </w:lvl>
    <w:lvl w:ilvl="3" w:tplc="040C0001" w:tentative="1">
      <w:start w:val="1"/>
      <w:numFmt w:val="bullet"/>
      <w:lvlText w:val=""/>
      <w:lvlJc w:val="left"/>
      <w:pPr>
        <w:tabs>
          <w:tab w:val="num" w:pos="3456"/>
        </w:tabs>
        <w:ind w:left="3456" w:hanging="360"/>
      </w:pPr>
      <w:rPr>
        <w:rFonts w:ascii="Symbol" w:hAnsi="Symbol" w:hint="default"/>
      </w:rPr>
    </w:lvl>
    <w:lvl w:ilvl="4" w:tplc="040C0003" w:tentative="1">
      <w:start w:val="1"/>
      <w:numFmt w:val="bullet"/>
      <w:lvlText w:val="o"/>
      <w:lvlJc w:val="left"/>
      <w:pPr>
        <w:tabs>
          <w:tab w:val="num" w:pos="4176"/>
        </w:tabs>
        <w:ind w:left="4176" w:hanging="360"/>
      </w:pPr>
      <w:rPr>
        <w:rFonts w:ascii="Courier New" w:hAnsi="Courier New" w:hint="default"/>
      </w:rPr>
    </w:lvl>
    <w:lvl w:ilvl="5" w:tplc="040C0005" w:tentative="1">
      <w:start w:val="1"/>
      <w:numFmt w:val="bullet"/>
      <w:lvlText w:val=""/>
      <w:lvlJc w:val="left"/>
      <w:pPr>
        <w:tabs>
          <w:tab w:val="num" w:pos="4896"/>
        </w:tabs>
        <w:ind w:left="4896" w:hanging="360"/>
      </w:pPr>
      <w:rPr>
        <w:rFonts w:ascii="Wingdings" w:hAnsi="Wingdings" w:hint="default"/>
      </w:rPr>
    </w:lvl>
    <w:lvl w:ilvl="6" w:tplc="040C0001" w:tentative="1">
      <w:start w:val="1"/>
      <w:numFmt w:val="bullet"/>
      <w:lvlText w:val=""/>
      <w:lvlJc w:val="left"/>
      <w:pPr>
        <w:tabs>
          <w:tab w:val="num" w:pos="5616"/>
        </w:tabs>
        <w:ind w:left="5616" w:hanging="360"/>
      </w:pPr>
      <w:rPr>
        <w:rFonts w:ascii="Symbol" w:hAnsi="Symbol" w:hint="default"/>
      </w:rPr>
    </w:lvl>
    <w:lvl w:ilvl="7" w:tplc="040C0003" w:tentative="1">
      <w:start w:val="1"/>
      <w:numFmt w:val="bullet"/>
      <w:lvlText w:val="o"/>
      <w:lvlJc w:val="left"/>
      <w:pPr>
        <w:tabs>
          <w:tab w:val="num" w:pos="6336"/>
        </w:tabs>
        <w:ind w:left="6336" w:hanging="360"/>
      </w:pPr>
      <w:rPr>
        <w:rFonts w:ascii="Courier New" w:hAnsi="Courier New" w:hint="default"/>
      </w:rPr>
    </w:lvl>
    <w:lvl w:ilvl="8" w:tplc="040C0005" w:tentative="1">
      <w:start w:val="1"/>
      <w:numFmt w:val="bullet"/>
      <w:lvlText w:val=""/>
      <w:lvlJc w:val="left"/>
      <w:pPr>
        <w:tabs>
          <w:tab w:val="num" w:pos="7056"/>
        </w:tabs>
        <w:ind w:left="7056" w:hanging="360"/>
      </w:pPr>
      <w:rPr>
        <w:rFonts w:ascii="Wingdings" w:hAnsi="Wingdings" w:hint="default"/>
      </w:rPr>
    </w:lvl>
  </w:abstractNum>
  <w:abstractNum w:abstractNumId="33">
    <w:nsid w:val="556C5E9F"/>
    <w:multiLevelType w:val="hybridMultilevel"/>
    <w:tmpl w:val="31DC14AE"/>
    <w:lvl w:ilvl="0" w:tplc="A6C09FEC">
      <w:start w:val="1"/>
      <w:numFmt w:val="bullet"/>
      <w:lvlText w:val=""/>
      <w:lvlJc w:val="left"/>
      <w:pPr>
        <w:ind w:left="900" w:hanging="360"/>
      </w:pPr>
      <w:rPr>
        <w:rFonts w:ascii="Wingdings" w:hAnsi="Wingdings" w:hint="default"/>
        <w:color w:val="80808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nsid w:val="565F45D9"/>
    <w:multiLevelType w:val="hybridMultilevel"/>
    <w:tmpl w:val="3AC4E452"/>
    <w:lvl w:ilvl="0" w:tplc="06BE081A">
      <w:numFmt w:val="bullet"/>
      <w:lvlText w:val=""/>
      <w:lvlJc w:val="left"/>
      <w:pPr>
        <w:ind w:left="540" w:hanging="360"/>
      </w:pPr>
      <w:rPr>
        <w:rFonts w:ascii="Symbol" w:eastAsia="SimSun" w:hAnsi="Symbol"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5">
    <w:nsid w:val="57517A64"/>
    <w:multiLevelType w:val="hybridMultilevel"/>
    <w:tmpl w:val="56EAC0D2"/>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36">
    <w:nsid w:val="5A430CFD"/>
    <w:multiLevelType w:val="hybridMultilevel"/>
    <w:tmpl w:val="CEE00BEC"/>
    <w:lvl w:ilvl="0" w:tplc="946434E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CED2CC6"/>
    <w:multiLevelType w:val="hybridMultilevel"/>
    <w:tmpl w:val="C49E52D8"/>
    <w:lvl w:ilvl="0" w:tplc="BB00A19E">
      <w:start w:val="1"/>
      <w:numFmt w:val="decimal"/>
      <w:lvlText w:val="%1."/>
      <w:lvlJc w:val="left"/>
      <w:pPr>
        <w:ind w:left="720" w:hanging="360"/>
      </w:pPr>
      <w:rPr>
        <w:b/>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DE72340"/>
    <w:multiLevelType w:val="hybridMultilevel"/>
    <w:tmpl w:val="A246D17E"/>
    <w:lvl w:ilvl="0" w:tplc="5AE2E862">
      <w:start w:val="5"/>
      <w:numFmt w:val="bullet"/>
      <w:lvlText w:val=""/>
      <w:lvlJc w:val="left"/>
      <w:pPr>
        <w:ind w:left="547" w:hanging="360"/>
      </w:pPr>
      <w:rPr>
        <w:rFonts w:ascii="Symbol" w:eastAsia="SimSun" w:hAnsi="Symbol" w:cs="Times New Roman" w:hint="default"/>
      </w:rPr>
    </w:lvl>
    <w:lvl w:ilvl="1" w:tplc="04090003" w:tentative="1">
      <w:start w:val="1"/>
      <w:numFmt w:val="bullet"/>
      <w:lvlText w:val="o"/>
      <w:lvlJc w:val="left"/>
      <w:pPr>
        <w:ind w:left="1267" w:hanging="360"/>
      </w:pPr>
      <w:rPr>
        <w:rFonts w:ascii="Courier New" w:hAnsi="Courier New" w:cs="Courier New" w:hint="default"/>
      </w:rPr>
    </w:lvl>
    <w:lvl w:ilvl="2" w:tplc="04090005" w:tentative="1">
      <w:start w:val="1"/>
      <w:numFmt w:val="bullet"/>
      <w:lvlText w:val=""/>
      <w:lvlJc w:val="left"/>
      <w:pPr>
        <w:ind w:left="1987" w:hanging="360"/>
      </w:pPr>
      <w:rPr>
        <w:rFonts w:ascii="Wingdings" w:hAnsi="Wingdings" w:hint="default"/>
      </w:rPr>
    </w:lvl>
    <w:lvl w:ilvl="3" w:tplc="04090001" w:tentative="1">
      <w:start w:val="1"/>
      <w:numFmt w:val="bullet"/>
      <w:lvlText w:val=""/>
      <w:lvlJc w:val="left"/>
      <w:pPr>
        <w:ind w:left="2707" w:hanging="360"/>
      </w:pPr>
      <w:rPr>
        <w:rFonts w:ascii="Symbol" w:hAnsi="Symbol" w:hint="default"/>
      </w:rPr>
    </w:lvl>
    <w:lvl w:ilvl="4" w:tplc="04090003" w:tentative="1">
      <w:start w:val="1"/>
      <w:numFmt w:val="bullet"/>
      <w:lvlText w:val="o"/>
      <w:lvlJc w:val="left"/>
      <w:pPr>
        <w:ind w:left="3427" w:hanging="360"/>
      </w:pPr>
      <w:rPr>
        <w:rFonts w:ascii="Courier New" w:hAnsi="Courier New" w:cs="Courier New" w:hint="default"/>
      </w:rPr>
    </w:lvl>
    <w:lvl w:ilvl="5" w:tplc="04090005" w:tentative="1">
      <w:start w:val="1"/>
      <w:numFmt w:val="bullet"/>
      <w:lvlText w:val=""/>
      <w:lvlJc w:val="left"/>
      <w:pPr>
        <w:ind w:left="4147" w:hanging="360"/>
      </w:pPr>
      <w:rPr>
        <w:rFonts w:ascii="Wingdings" w:hAnsi="Wingdings" w:hint="default"/>
      </w:rPr>
    </w:lvl>
    <w:lvl w:ilvl="6" w:tplc="04090001" w:tentative="1">
      <w:start w:val="1"/>
      <w:numFmt w:val="bullet"/>
      <w:lvlText w:val=""/>
      <w:lvlJc w:val="left"/>
      <w:pPr>
        <w:ind w:left="4867" w:hanging="360"/>
      </w:pPr>
      <w:rPr>
        <w:rFonts w:ascii="Symbol" w:hAnsi="Symbol" w:hint="default"/>
      </w:rPr>
    </w:lvl>
    <w:lvl w:ilvl="7" w:tplc="04090003" w:tentative="1">
      <w:start w:val="1"/>
      <w:numFmt w:val="bullet"/>
      <w:lvlText w:val="o"/>
      <w:lvlJc w:val="left"/>
      <w:pPr>
        <w:ind w:left="5587" w:hanging="360"/>
      </w:pPr>
      <w:rPr>
        <w:rFonts w:ascii="Courier New" w:hAnsi="Courier New" w:cs="Courier New" w:hint="default"/>
      </w:rPr>
    </w:lvl>
    <w:lvl w:ilvl="8" w:tplc="04090005" w:tentative="1">
      <w:start w:val="1"/>
      <w:numFmt w:val="bullet"/>
      <w:lvlText w:val=""/>
      <w:lvlJc w:val="left"/>
      <w:pPr>
        <w:ind w:left="6307" w:hanging="360"/>
      </w:pPr>
      <w:rPr>
        <w:rFonts w:ascii="Wingdings" w:hAnsi="Wingdings" w:hint="default"/>
      </w:rPr>
    </w:lvl>
  </w:abstractNum>
  <w:abstractNum w:abstractNumId="39">
    <w:nsid w:val="61E42FDD"/>
    <w:multiLevelType w:val="hybridMultilevel"/>
    <w:tmpl w:val="C388E838"/>
    <w:lvl w:ilvl="0" w:tplc="A6C09FEC">
      <w:start w:val="1"/>
      <w:numFmt w:val="bullet"/>
      <w:lvlText w:val=""/>
      <w:lvlJc w:val="left"/>
      <w:pPr>
        <w:ind w:left="1080" w:hanging="360"/>
      </w:pPr>
      <w:rPr>
        <w:rFonts w:ascii="Wingdings" w:hAnsi="Wingdings" w:hint="default"/>
        <w:color w:val="8080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621926A2"/>
    <w:multiLevelType w:val="hybridMultilevel"/>
    <w:tmpl w:val="F78C4D86"/>
    <w:lvl w:ilvl="0" w:tplc="D990F4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26F03B4"/>
    <w:multiLevelType w:val="hybridMultilevel"/>
    <w:tmpl w:val="842CF1F6"/>
    <w:lvl w:ilvl="0" w:tplc="04090005">
      <w:start w:val="1"/>
      <w:numFmt w:val="bullet"/>
      <w:lvlText w:val=""/>
      <w:lvlJc w:val="left"/>
      <w:pPr>
        <w:ind w:left="907" w:hanging="360"/>
      </w:pPr>
      <w:rPr>
        <w:rFonts w:ascii="Wingdings" w:hAnsi="Wingdings"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42">
    <w:nsid w:val="645971D0"/>
    <w:multiLevelType w:val="hybridMultilevel"/>
    <w:tmpl w:val="35CEA73A"/>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43">
    <w:nsid w:val="685668DA"/>
    <w:multiLevelType w:val="singleLevel"/>
    <w:tmpl w:val="EF6A4EF2"/>
    <w:lvl w:ilvl="0">
      <w:numFmt w:val="decimal"/>
      <w:pStyle w:val="Titre4"/>
      <w:lvlText w:val="%1"/>
      <w:legacy w:legacy="1" w:legacySpace="0" w:legacyIndent="0"/>
      <w:lvlJc w:val="left"/>
    </w:lvl>
  </w:abstractNum>
  <w:abstractNum w:abstractNumId="44">
    <w:nsid w:val="6E674590"/>
    <w:multiLevelType w:val="hybridMultilevel"/>
    <w:tmpl w:val="EBA00FF2"/>
    <w:lvl w:ilvl="0" w:tplc="A6C09FEC">
      <w:start w:val="1"/>
      <w:numFmt w:val="bullet"/>
      <w:lvlText w:val=""/>
      <w:lvlJc w:val="left"/>
      <w:pPr>
        <w:ind w:left="720" w:hanging="360"/>
      </w:pPr>
      <w:rPr>
        <w:rFonts w:ascii="Wingdings" w:hAnsi="Wingdings" w:hint="default"/>
        <w:color w:val="8080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142362C"/>
    <w:multiLevelType w:val="hybridMultilevel"/>
    <w:tmpl w:val="125C8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1AF19E8"/>
    <w:multiLevelType w:val="hybridMultilevel"/>
    <w:tmpl w:val="0888C6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C563211"/>
    <w:multiLevelType w:val="hybridMultilevel"/>
    <w:tmpl w:val="0F6E3F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7EF55E23"/>
    <w:multiLevelType w:val="hybridMultilevel"/>
    <w:tmpl w:val="5CEC2A74"/>
    <w:lvl w:ilvl="0" w:tplc="352E7424">
      <w:start w:val="1"/>
      <w:numFmt w:val="decimal"/>
      <w:lvlText w:val="%1."/>
      <w:lvlJc w:val="left"/>
      <w:pPr>
        <w:ind w:left="720" w:hanging="360"/>
      </w:pPr>
      <w:rPr>
        <w:rFonts w:hint="default"/>
        <w:b/>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32"/>
  </w:num>
  <w:num w:numId="3">
    <w:abstractNumId w:val="16"/>
  </w:num>
  <w:num w:numId="4">
    <w:abstractNumId w:val="47"/>
  </w:num>
  <w:num w:numId="5">
    <w:abstractNumId w:val="14"/>
  </w:num>
  <w:num w:numId="6">
    <w:abstractNumId w:val="37"/>
  </w:num>
  <w:num w:numId="7">
    <w:abstractNumId w:val="11"/>
  </w:num>
  <w:num w:numId="8">
    <w:abstractNumId w:val="19"/>
  </w:num>
  <w:num w:numId="9">
    <w:abstractNumId w:val="33"/>
  </w:num>
  <w:num w:numId="10">
    <w:abstractNumId w:val="12"/>
  </w:num>
  <w:num w:numId="11">
    <w:abstractNumId w:val="44"/>
  </w:num>
  <w:num w:numId="12">
    <w:abstractNumId w:val="28"/>
  </w:num>
  <w:num w:numId="13">
    <w:abstractNumId w:val="7"/>
  </w:num>
  <w:num w:numId="14">
    <w:abstractNumId w:val="2"/>
  </w:num>
  <w:num w:numId="15">
    <w:abstractNumId w:val="48"/>
  </w:num>
  <w:num w:numId="16">
    <w:abstractNumId w:val="18"/>
  </w:num>
  <w:num w:numId="17">
    <w:abstractNumId w:val="39"/>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30"/>
  </w:num>
  <w:num w:numId="2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6"/>
  </w:num>
  <w:num w:numId="23">
    <w:abstractNumId w:val="6"/>
  </w:num>
  <w:num w:numId="24">
    <w:abstractNumId w:val="22"/>
  </w:num>
  <w:num w:numId="25">
    <w:abstractNumId w:val="38"/>
  </w:num>
  <w:num w:numId="26">
    <w:abstractNumId w:val="13"/>
  </w:num>
  <w:num w:numId="27">
    <w:abstractNumId w:val="40"/>
  </w:num>
  <w:num w:numId="28">
    <w:abstractNumId w:val="45"/>
  </w:num>
  <w:num w:numId="29">
    <w:abstractNumId w:val="8"/>
  </w:num>
  <w:num w:numId="30">
    <w:abstractNumId w:val="3"/>
  </w:num>
  <w:num w:numId="31">
    <w:abstractNumId w:val="26"/>
  </w:num>
  <w:num w:numId="32">
    <w:abstractNumId w:val="5"/>
  </w:num>
  <w:num w:numId="33">
    <w:abstractNumId w:val="20"/>
  </w:num>
  <w:num w:numId="34">
    <w:abstractNumId w:val="24"/>
  </w:num>
  <w:num w:numId="35">
    <w:abstractNumId w:val="4"/>
  </w:num>
  <w:num w:numId="36">
    <w:abstractNumId w:val="34"/>
  </w:num>
  <w:num w:numId="37">
    <w:abstractNumId w:val="21"/>
  </w:num>
  <w:num w:numId="38">
    <w:abstractNumId w:val="0"/>
  </w:num>
  <w:num w:numId="39">
    <w:abstractNumId w:val="29"/>
  </w:num>
  <w:num w:numId="40">
    <w:abstractNumId w:val="35"/>
  </w:num>
  <w:num w:numId="41">
    <w:abstractNumId w:val="25"/>
  </w:num>
  <w:num w:numId="42">
    <w:abstractNumId w:val="31"/>
  </w:num>
  <w:num w:numId="43">
    <w:abstractNumId w:val="42"/>
  </w:num>
  <w:num w:numId="44">
    <w:abstractNumId w:val="41"/>
  </w:num>
  <w:num w:numId="45">
    <w:abstractNumId w:val="46"/>
  </w:num>
  <w:num w:numId="46">
    <w:abstractNumId w:val="27"/>
  </w:num>
  <w:num w:numId="47">
    <w:abstractNumId w:val="1"/>
  </w:num>
  <w:num w:numId="48">
    <w:abstractNumId w:val="9"/>
  </w:num>
  <w:num w:numId="49">
    <w:abstractNumId w:val="23"/>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gutterAtTop/>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activeWritingStyle w:appName="MSWord" w:lang="en-GB" w:vendorID="64" w:dllVersion="131078" w:nlCheck="1" w:checkStyle="1"/>
  <w:proofState w:spelling="clean" w:grammar="clean"/>
  <w:stylePaneFormatFilter w:val="3F01"/>
  <w:defaultTabStop w:val="720"/>
  <w:hyphenationZone w:val="425"/>
  <w:drawingGridHorizontalSpacing w:val="100"/>
  <w:drawingGridVerticalSpacing w:val="136"/>
  <w:displayHorizontalDrawingGridEvery w:val="0"/>
  <w:displayVerticalDrawingGridEvery w:val="2"/>
  <w:noPunctuationKerning/>
  <w:characterSpacingControl w:val="doNotCompress"/>
  <w:hdrShapeDefaults>
    <o:shapedefaults v:ext="edit" spidmax="263169" style="mso-width-relative:margin;mso-height-relative:margin" fillcolor="white" strokecolor="silver">
      <v:fill color="white"/>
      <v:stroke color="silver"/>
      <o:colormenu v:ext="edit" fillcolor="none" strokecolor="none"/>
    </o:shapedefaults>
  </w:hdrShapeDefaults>
  <w:footnotePr>
    <w:footnote w:id="-1"/>
    <w:footnote w:id="0"/>
  </w:footnotePr>
  <w:endnotePr>
    <w:endnote w:id="-1"/>
    <w:endnote w:id="0"/>
  </w:endnotePr>
  <w:compat>
    <w:useFELayout/>
  </w:compat>
  <w:rsids>
    <w:rsidRoot w:val="005912AD"/>
    <w:rsid w:val="00000D3F"/>
    <w:rsid w:val="00004B45"/>
    <w:rsid w:val="00005195"/>
    <w:rsid w:val="0000559D"/>
    <w:rsid w:val="000058E1"/>
    <w:rsid w:val="00006EFA"/>
    <w:rsid w:val="00007BEB"/>
    <w:rsid w:val="00007D88"/>
    <w:rsid w:val="00010D5E"/>
    <w:rsid w:val="00011067"/>
    <w:rsid w:val="000115CC"/>
    <w:rsid w:val="00012D37"/>
    <w:rsid w:val="0001321F"/>
    <w:rsid w:val="00014B80"/>
    <w:rsid w:val="00014D9B"/>
    <w:rsid w:val="00016E74"/>
    <w:rsid w:val="00017925"/>
    <w:rsid w:val="00017EB7"/>
    <w:rsid w:val="00021035"/>
    <w:rsid w:val="00021294"/>
    <w:rsid w:val="00021391"/>
    <w:rsid w:val="000219A9"/>
    <w:rsid w:val="00022CC0"/>
    <w:rsid w:val="00023FB7"/>
    <w:rsid w:val="00025DDF"/>
    <w:rsid w:val="00026752"/>
    <w:rsid w:val="0003023B"/>
    <w:rsid w:val="00032CEB"/>
    <w:rsid w:val="000341EA"/>
    <w:rsid w:val="000349FF"/>
    <w:rsid w:val="000355D5"/>
    <w:rsid w:val="00035769"/>
    <w:rsid w:val="0003608D"/>
    <w:rsid w:val="00037128"/>
    <w:rsid w:val="000373F3"/>
    <w:rsid w:val="000377C9"/>
    <w:rsid w:val="00037EBA"/>
    <w:rsid w:val="000401BD"/>
    <w:rsid w:val="00040613"/>
    <w:rsid w:val="00040C28"/>
    <w:rsid w:val="000414E6"/>
    <w:rsid w:val="00041D84"/>
    <w:rsid w:val="00043181"/>
    <w:rsid w:val="00043E48"/>
    <w:rsid w:val="0004574A"/>
    <w:rsid w:val="000466E5"/>
    <w:rsid w:val="00046AE3"/>
    <w:rsid w:val="00046E8D"/>
    <w:rsid w:val="00047918"/>
    <w:rsid w:val="00052817"/>
    <w:rsid w:val="00052871"/>
    <w:rsid w:val="000529C1"/>
    <w:rsid w:val="00053F6C"/>
    <w:rsid w:val="000540BB"/>
    <w:rsid w:val="000545BB"/>
    <w:rsid w:val="0005513B"/>
    <w:rsid w:val="00055FE2"/>
    <w:rsid w:val="0005620A"/>
    <w:rsid w:val="000563A4"/>
    <w:rsid w:val="0005652E"/>
    <w:rsid w:val="000569D5"/>
    <w:rsid w:val="00057858"/>
    <w:rsid w:val="00061CCB"/>
    <w:rsid w:val="00062FD8"/>
    <w:rsid w:val="00062FE5"/>
    <w:rsid w:val="00064917"/>
    <w:rsid w:val="00064A3B"/>
    <w:rsid w:val="00064D5C"/>
    <w:rsid w:val="00065A3A"/>
    <w:rsid w:val="00066732"/>
    <w:rsid w:val="00066871"/>
    <w:rsid w:val="00067013"/>
    <w:rsid w:val="00071B50"/>
    <w:rsid w:val="000727F3"/>
    <w:rsid w:val="00073EEA"/>
    <w:rsid w:val="000744CC"/>
    <w:rsid w:val="00075C47"/>
    <w:rsid w:val="00075C89"/>
    <w:rsid w:val="00075EA8"/>
    <w:rsid w:val="000762BE"/>
    <w:rsid w:val="00076775"/>
    <w:rsid w:val="000772AE"/>
    <w:rsid w:val="00080B01"/>
    <w:rsid w:val="00080BCD"/>
    <w:rsid w:val="00081F8B"/>
    <w:rsid w:val="0008239F"/>
    <w:rsid w:val="00082DEF"/>
    <w:rsid w:val="000834D2"/>
    <w:rsid w:val="00084686"/>
    <w:rsid w:val="00085955"/>
    <w:rsid w:val="00087BB4"/>
    <w:rsid w:val="00092D62"/>
    <w:rsid w:val="00094752"/>
    <w:rsid w:val="000952D9"/>
    <w:rsid w:val="00095E88"/>
    <w:rsid w:val="00096975"/>
    <w:rsid w:val="00096F76"/>
    <w:rsid w:val="000A3044"/>
    <w:rsid w:val="000A6874"/>
    <w:rsid w:val="000A79A0"/>
    <w:rsid w:val="000B1598"/>
    <w:rsid w:val="000B17E0"/>
    <w:rsid w:val="000B1B2B"/>
    <w:rsid w:val="000B2E56"/>
    <w:rsid w:val="000B40DD"/>
    <w:rsid w:val="000B4304"/>
    <w:rsid w:val="000B44FD"/>
    <w:rsid w:val="000B49E0"/>
    <w:rsid w:val="000B6179"/>
    <w:rsid w:val="000C016B"/>
    <w:rsid w:val="000C16AE"/>
    <w:rsid w:val="000C1A50"/>
    <w:rsid w:val="000C1F29"/>
    <w:rsid w:val="000C2523"/>
    <w:rsid w:val="000C270F"/>
    <w:rsid w:val="000C37A8"/>
    <w:rsid w:val="000C3C0A"/>
    <w:rsid w:val="000C447E"/>
    <w:rsid w:val="000C5199"/>
    <w:rsid w:val="000C5489"/>
    <w:rsid w:val="000C5B1F"/>
    <w:rsid w:val="000C6335"/>
    <w:rsid w:val="000C6D46"/>
    <w:rsid w:val="000C714B"/>
    <w:rsid w:val="000C772B"/>
    <w:rsid w:val="000D0710"/>
    <w:rsid w:val="000D151D"/>
    <w:rsid w:val="000D2606"/>
    <w:rsid w:val="000D276E"/>
    <w:rsid w:val="000D287E"/>
    <w:rsid w:val="000D39A6"/>
    <w:rsid w:val="000D3C0B"/>
    <w:rsid w:val="000D4CAD"/>
    <w:rsid w:val="000D592B"/>
    <w:rsid w:val="000D75C7"/>
    <w:rsid w:val="000D7A2A"/>
    <w:rsid w:val="000D7D33"/>
    <w:rsid w:val="000E0ED5"/>
    <w:rsid w:val="000E1367"/>
    <w:rsid w:val="000E1F04"/>
    <w:rsid w:val="000E2043"/>
    <w:rsid w:val="000E2CED"/>
    <w:rsid w:val="000E2E8C"/>
    <w:rsid w:val="000E318F"/>
    <w:rsid w:val="000E341B"/>
    <w:rsid w:val="000E444F"/>
    <w:rsid w:val="000E49EC"/>
    <w:rsid w:val="000E5907"/>
    <w:rsid w:val="000E5A81"/>
    <w:rsid w:val="000E69C9"/>
    <w:rsid w:val="000E753C"/>
    <w:rsid w:val="000E7CB8"/>
    <w:rsid w:val="000F00D7"/>
    <w:rsid w:val="000F09FC"/>
    <w:rsid w:val="000F0C8E"/>
    <w:rsid w:val="000F17AE"/>
    <w:rsid w:val="000F1C15"/>
    <w:rsid w:val="000F1EFF"/>
    <w:rsid w:val="000F29E6"/>
    <w:rsid w:val="000F5C9F"/>
    <w:rsid w:val="000F60D2"/>
    <w:rsid w:val="000F6D43"/>
    <w:rsid w:val="000F6E25"/>
    <w:rsid w:val="000F6E60"/>
    <w:rsid w:val="00100816"/>
    <w:rsid w:val="001010C5"/>
    <w:rsid w:val="0010250E"/>
    <w:rsid w:val="0010321E"/>
    <w:rsid w:val="00104E27"/>
    <w:rsid w:val="00106034"/>
    <w:rsid w:val="0010732E"/>
    <w:rsid w:val="001108ED"/>
    <w:rsid w:val="0011152B"/>
    <w:rsid w:val="001115EE"/>
    <w:rsid w:val="0011324B"/>
    <w:rsid w:val="00113930"/>
    <w:rsid w:val="00114E7C"/>
    <w:rsid w:val="0011557C"/>
    <w:rsid w:val="001159CB"/>
    <w:rsid w:val="00115C61"/>
    <w:rsid w:val="00116591"/>
    <w:rsid w:val="001168D9"/>
    <w:rsid w:val="001170A0"/>
    <w:rsid w:val="0011711B"/>
    <w:rsid w:val="001172B3"/>
    <w:rsid w:val="00120C1A"/>
    <w:rsid w:val="0012204D"/>
    <w:rsid w:val="0012256D"/>
    <w:rsid w:val="00122BBD"/>
    <w:rsid w:val="001230AE"/>
    <w:rsid w:val="001238C2"/>
    <w:rsid w:val="0012558B"/>
    <w:rsid w:val="0012645F"/>
    <w:rsid w:val="001279DF"/>
    <w:rsid w:val="00130D97"/>
    <w:rsid w:val="00133395"/>
    <w:rsid w:val="001333CE"/>
    <w:rsid w:val="00133D22"/>
    <w:rsid w:val="00134E05"/>
    <w:rsid w:val="00136DC8"/>
    <w:rsid w:val="001379C7"/>
    <w:rsid w:val="00140752"/>
    <w:rsid w:val="00141023"/>
    <w:rsid w:val="00142775"/>
    <w:rsid w:val="00142B58"/>
    <w:rsid w:val="00143757"/>
    <w:rsid w:val="0014407D"/>
    <w:rsid w:val="00144C7E"/>
    <w:rsid w:val="00145584"/>
    <w:rsid w:val="00145F5E"/>
    <w:rsid w:val="001460A0"/>
    <w:rsid w:val="00147571"/>
    <w:rsid w:val="00150510"/>
    <w:rsid w:val="0015069C"/>
    <w:rsid w:val="00153003"/>
    <w:rsid w:val="001549E3"/>
    <w:rsid w:val="00156FD3"/>
    <w:rsid w:val="001572CD"/>
    <w:rsid w:val="00157B9F"/>
    <w:rsid w:val="00157D9E"/>
    <w:rsid w:val="00162E83"/>
    <w:rsid w:val="00163124"/>
    <w:rsid w:val="00165F50"/>
    <w:rsid w:val="0016654D"/>
    <w:rsid w:val="00166994"/>
    <w:rsid w:val="00167CDB"/>
    <w:rsid w:val="0017023B"/>
    <w:rsid w:val="00170808"/>
    <w:rsid w:val="00170D75"/>
    <w:rsid w:val="00171439"/>
    <w:rsid w:val="00171FCE"/>
    <w:rsid w:val="001725F5"/>
    <w:rsid w:val="001738A7"/>
    <w:rsid w:val="00173FBC"/>
    <w:rsid w:val="00174D49"/>
    <w:rsid w:val="00174F76"/>
    <w:rsid w:val="00174FA5"/>
    <w:rsid w:val="00176868"/>
    <w:rsid w:val="00177458"/>
    <w:rsid w:val="00177C83"/>
    <w:rsid w:val="00177CC6"/>
    <w:rsid w:val="00177E40"/>
    <w:rsid w:val="00177FDE"/>
    <w:rsid w:val="001803D3"/>
    <w:rsid w:val="0018044C"/>
    <w:rsid w:val="0018044F"/>
    <w:rsid w:val="00180686"/>
    <w:rsid w:val="00180BEA"/>
    <w:rsid w:val="00181DF3"/>
    <w:rsid w:val="001832A8"/>
    <w:rsid w:val="001832BE"/>
    <w:rsid w:val="00183FF7"/>
    <w:rsid w:val="00184054"/>
    <w:rsid w:val="0018407D"/>
    <w:rsid w:val="00184425"/>
    <w:rsid w:val="00184B92"/>
    <w:rsid w:val="00186619"/>
    <w:rsid w:val="00186C67"/>
    <w:rsid w:val="00187963"/>
    <w:rsid w:val="00187FED"/>
    <w:rsid w:val="001909D6"/>
    <w:rsid w:val="001927D1"/>
    <w:rsid w:val="0019484B"/>
    <w:rsid w:val="0019569E"/>
    <w:rsid w:val="00197565"/>
    <w:rsid w:val="001977E3"/>
    <w:rsid w:val="00197BED"/>
    <w:rsid w:val="001A16D1"/>
    <w:rsid w:val="001A2E4D"/>
    <w:rsid w:val="001A30AB"/>
    <w:rsid w:val="001A3ED1"/>
    <w:rsid w:val="001A4249"/>
    <w:rsid w:val="001A4D75"/>
    <w:rsid w:val="001A5D23"/>
    <w:rsid w:val="001A7ABB"/>
    <w:rsid w:val="001B0084"/>
    <w:rsid w:val="001B07BD"/>
    <w:rsid w:val="001B1417"/>
    <w:rsid w:val="001B40CD"/>
    <w:rsid w:val="001B4F37"/>
    <w:rsid w:val="001B55B3"/>
    <w:rsid w:val="001B659D"/>
    <w:rsid w:val="001C0DEE"/>
    <w:rsid w:val="001C1B6D"/>
    <w:rsid w:val="001C2587"/>
    <w:rsid w:val="001C3837"/>
    <w:rsid w:val="001C38C2"/>
    <w:rsid w:val="001C3FC6"/>
    <w:rsid w:val="001C3FC7"/>
    <w:rsid w:val="001C4AA8"/>
    <w:rsid w:val="001C4FA2"/>
    <w:rsid w:val="001D0270"/>
    <w:rsid w:val="001D0494"/>
    <w:rsid w:val="001D0828"/>
    <w:rsid w:val="001D0B30"/>
    <w:rsid w:val="001D15E5"/>
    <w:rsid w:val="001D1F33"/>
    <w:rsid w:val="001D3A0C"/>
    <w:rsid w:val="001D42C2"/>
    <w:rsid w:val="001D4E45"/>
    <w:rsid w:val="001D519A"/>
    <w:rsid w:val="001D520B"/>
    <w:rsid w:val="001D550B"/>
    <w:rsid w:val="001D5658"/>
    <w:rsid w:val="001D6B0F"/>
    <w:rsid w:val="001D6C73"/>
    <w:rsid w:val="001D6DF1"/>
    <w:rsid w:val="001E0368"/>
    <w:rsid w:val="001E10EE"/>
    <w:rsid w:val="001E1972"/>
    <w:rsid w:val="001E2ADF"/>
    <w:rsid w:val="001E4C0F"/>
    <w:rsid w:val="001E600E"/>
    <w:rsid w:val="001E7290"/>
    <w:rsid w:val="001F06A6"/>
    <w:rsid w:val="001F15AF"/>
    <w:rsid w:val="001F1B7B"/>
    <w:rsid w:val="001F1BE6"/>
    <w:rsid w:val="001F2871"/>
    <w:rsid w:val="001F4832"/>
    <w:rsid w:val="001F63EA"/>
    <w:rsid w:val="001F6B13"/>
    <w:rsid w:val="002001DB"/>
    <w:rsid w:val="00200478"/>
    <w:rsid w:val="002006DC"/>
    <w:rsid w:val="00203654"/>
    <w:rsid w:val="00203D82"/>
    <w:rsid w:val="0020402C"/>
    <w:rsid w:val="00206280"/>
    <w:rsid w:val="00206A81"/>
    <w:rsid w:val="00207519"/>
    <w:rsid w:val="0020752F"/>
    <w:rsid w:val="00207E58"/>
    <w:rsid w:val="0021016F"/>
    <w:rsid w:val="002107B6"/>
    <w:rsid w:val="00211660"/>
    <w:rsid w:val="00212B16"/>
    <w:rsid w:val="00212D2C"/>
    <w:rsid w:val="00213515"/>
    <w:rsid w:val="00213ABC"/>
    <w:rsid w:val="00213AC2"/>
    <w:rsid w:val="002148DA"/>
    <w:rsid w:val="002153C8"/>
    <w:rsid w:val="00215458"/>
    <w:rsid w:val="002161DC"/>
    <w:rsid w:val="00216CC6"/>
    <w:rsid w:val="00216FED"/>
    <w:rsid w:val="00220611"/>
    <w:rsid w:val="00220ED2"/>
    <w:rsid w:val="00223140"/>
    <w:rsid w:val="00224308"/>
    <w:rsid w:val="00225CB6"/>
    <w:rsid w:val="002264AA"/>
    <w:rsid w:val="00226AEB"/>
    <w:rsid w:val="00226E48"/>
    <w:rsid w:val="00227390"/>
    <w:rsid w:val="0022746B"/>
    <w:rsid w:val="00227474"/>
    <w:rsid w:val="0023565C"/>
    <w:rsid w:val="00235695"/>
    <w:rsid w:val="00235DF2"/>
    <w:rsid w:val="0023678B"/>
    <w:rsid w:val="00236B07"/>
    <w:rsid w:val="00237EF0"/>
    <w:rsid w:val="00241479"/>
    <w:rsid w:val="0024152E"/>
    <w:rsid w:val="002415D7"/>
    <w:rsid w:val="00242260"/>
    <w:rsid w:val="00243312"/>
    <w:rsid w:val="00244916"/>
    <w:rsid w:val="002449E9"/>
    <w:rsid w:val="00245535"/>
    <w:rsid w:val="00246825"/>
    <w:rsid w:val="002506B1"/>
    <w:rsid w:val="00251B88"/>
    <w:rsid w:val="00252E3C"/>
    <w:rsid w:val="002534CC"/>
    <w:rsid w:val="00253C60"/>
    <w:rsid w:val="00253FF6"/>
    <w:rsid w:val="00254C78"/>
    <w:rsid w:val="00255B99"/>
    <w:rsid w:val="002565EC"/>
    <w:rsid w:val="002566DF"/>
    <w:rsid w:val="00256953"/>
    <w:rsid w:val="00256D40"/>
    <w:rsid w:val="002571F2"/>
    <w:rsid w:val="00257B04"/>
    <w:rsid w:val="00260939"/>
    <w:rsid w:val="00260E5E"/>
    <w:rsid w:val="00261E36"/>
    <w:rsid w:val="00263258"/>
    <w:rsid w:val="002634A2"/>
    <w:rsid w:val="00264DE6"/>
    <w:rsid w:val="0026581F"/>
    <w:rsid w:val="00267D82"/>
    <w:rsid w:val="00267E07"/>
    <w:rsid w:val="00267E46"/>
    <w:rsid w:val="00276A43"/>
    <w:rsid w:val="00276F8C"/>
    <w:rsid w:val="0028070F"/>
    <w:rsid w:val="002807EA"/>
    <w:rsid w:val="0028148C"/>
    <w:rsid w:val="002815CE"/>
    <w:rsid w:val="0028493B"/>
    <w:rsid w:val="00285343"/>
    <w:rsid w:val="002854D7"/>
    <w:rsid w:val="00286563"/>
    <w:rsid w:val="002867DD"/>
    <w:rsid w:val="00290D57"/>
    <w:rsid w:val="0029103E"/>
    <w:rsid w:val="00292727"/>
    <w:rsid w:val="00292B4F"/>
    <w:rsid w:val="00292BAE"/>
    <w:rsid w:val="00292C3C"/>
    <w:rsid w:val="00293A42"/>
    <w:rsid w:val="00293D09"/>
    <w:rsid w:val="00294529"/>
    <w:rsid w:val="0029565A"/>
    <w:rsid w:val="002960FE"/>
    <w:rsid w:val="00296559"/>
    <w:rsid w:val="00296A2D"/>
    <w:rsid w:val="00296B75"/>
    <w:rsid w:val="00297464"/>
    <w:rsid w:val="002A0E13"/>
    <w:rsid w:val="002A0E56"/>
    <w:rsid w:val="002A12E7"/>
    <w:rsid w:val="002A1431"/>
    <w:rsid w:val="002A1524"/>
    <w:rsid w:val="002A1A03"/>
    <w:rsid w:val="002A1E7F"/>
    <w:rsid w:val="002A4C15"/>
    <w:rsid w:val="002A5D91"/>
    <w:rsid w:val="002A6028"/>
    <w:rsid w:val="002A618B"/>
    <w:rsid w:val="002A6DD8"/>
    <w:rsid w:val="002A7652"/>
    <w:rsid w:val="002A7AC9"/>
    <w:rsid w:val="002B6287"/>
    <w:rsid w:val="002B6344"/>
    <w:rsid w:val="002B79DA"/>
    <w:rsid w:val="002C1433"/>
    <w:rsid w:val="002C2694"/>
    <w:rsid w:val="002D1220"/>
    <w:rsid w:val="002D1AC9"/>
    <w:rsid w:val="002D1DFE"/>
    <w:rsid w:val="002D1E0C"/>
    <w:rsid w:val="002D25CA"/>
    <w:rsid w:val="002D2B72"/>
    <w:rsid w:val="002D2D9C"/>
    <w:rsid w:val="002D2E01"/>
    <w:rsid w:val="002D3FAD"/>
    <w:rsid w:val="002D50A6"/>
    <w:rsid w:val="002D5330"/>
    <w:rsid w:val="002E0FC2"/>
    <w:rsid w:val="002E118A"/>
    <w:rsid w:val="002E2F2F"/>
    <w:rsid w:val="002E34FD"/>
    <w:rsid w:val="002E4C1A"/>
    <w:rsid w:val="002E4D97"/>
    <w:rsid w:val="002E6AF8"/>
    <w:rsid w:val="002F0250"/>
    <w:rsid w:val="002F21E7"/>
    <w:rsid w:val="002F3C34"/>
    <w:rsid w:val="002F3E91"/>
    <w:rsid w:val="002F4AC2"/>
    <w:rsid w:val="002F5C5A"/>
    <w:rsid w:val="002F727E"/>
    <w:rsid w:val="00300E7C"/>
    <w:rsid w:val="00301275"/>
    <w:rsid w:val="0030170D"/>
    <w:rsid w:val="00302117"/>
    <w:rsid w:val="00305246"/>
    <w:rsid w:val="0030556C"/>
    <w:rsid w:val="003063F9"/>
    <w:rsid w:val="003064C4"/>
    <w:rsid w:val="00306D2A"/>
    <w:rsid w:val="0031040E"/>
    <w:rsid w:val="003107FC"/>
    <w:rsid w:val="00311BBE"/>
    <w:rsid w:val="00311DD2"/>
    <w:rsid w:val="00311F3A"/>
    <w:rsid w:val="00313313"/>
    <w:rsid w:val="0031545A"/>
    <w:rsid w:val="003158CD"/>
    <w:rsid w:val="00316116"/>
    <w:rsid w:val="00316959"/>
    <w:rsid w:val="00316CE7"/>
    <w:rsid w:val="003174F2"/>
    <w:rsid w:val="003177A0"/>
    <w:rsid w:val="00317E56"/>
    <w:rsid w:val="003217A1"/>
    <w:rsid w:val="00322CBC"/>
    <w:rsid w:val="00322DE7"/>
    <w:rsid w:val="003237BD"/>
    <w:rsid w:val="00323B4C"/>
    <w:rsid w:val="00324299"/>
    <w:rsid w:val="00324DAF"/>
    <w:rsid w:val="003258B1"/>
    <w:rsid w:val="003259AA"/>
    <w:rsid w:val="00325E99"/>
    <w:rsid w:val="00326C60"/>
    <w:rsid w:val="00326F46"/>
    <w:rsid w:val="00326FDF"/>
    <w:rsid w:val="00327458"/>
    <w:rsid w:val="00330927"/>
    <w:rsid w:val="0033096B"/>
    <w:rsid w:val="0033133A"/>
    <w:rsid w:val="00331621"/>
    <w:rsid w:val="00333107"/>
    <w:rsid w:val="0033412C"/>
    <w:rsid w:val="00336B58"/>
    <w:rsid w:val="00336ED0"/>
    <w:rsid w:val="00337CC4"/>
    <w:rsid w:val="00337D2A"/>
    <w:rsid w:val="0034060C"/>
    <w:rsid w:val="00340C6B"/>
    <w:rsid w:val="00341731"/>
    <w:rsid w:val="00341BE4"/>
    <w:rsid w:val="00341F8F"/>
    <w:rsid w:val="00343161"/>
    <w:rsid w:val="00344CB1"/>
    <w:rsid w:val="00346A70"/>
    <w:rsid w:val="00350FA9"/>
    <w:rsid w:val="00351E12"/>
    <w:rsid w:val="00353088"/>
    <w:rsid w:val="0035385C"/>
    <w:rsid w:val="00354229"/>
    <w:rsid w:val="00354FC2"/>
    <w:rsid w:val="003566E8"/>
    <w:rsid w:val="0035782E"/>
    <w:rsid w:val="0035795E"/>
    <w:rsid w:val="00357AEF"/>
    <w:rsid w:val="00360F50"/>
    <w:rsid w:val="00362B22"/>
    <w:rsid w:val="003631C2"/>
    <w:rsid w:val="00364EE8"/>
    <w:rsid w:val="0037165A"/>
    <w:rsid w:val="00371A6B"/>
    <w:rsid w:val="00373245"/>
    <w:rsid w:val="00373569"/>
    <w:rsid w:val="00373846"/>
    <w:rsid w:val="00373931"/>
    <w:rsid w:val="00373A27"/>
    <w:rsid w:val="0037449B"/>
    <w:rsid w:val="00375B70"/>
    <w:rsid w:val="00376789"/>
    <w:rsid w:val="00377768"/>
    <w:rsid w:val="00382372"/>
    <w:rsid w:val="00383D02"/>
    <w:rsid w:val="00383D31"/>
    <w:rsid w:val="00383EDF"/>
    <w:rsid w:val="003843DC"/>
    <w:rsid w:val="00390E48"/>
    <w:rsid w:val="00392C38"/>
    <w:rsid w:val="00393F27"/>
    <w:rsid w:val="003950F1"/>
    <w:rsid w:val="00396DA8"/>
    <w:rsid w:val="003A193E"/>
    <w:rsid w:val="003A3C12"/>
    <w:rsid w:val="003A3C3C"/>
    <w:rsid w:val="003A3EE3"/>
    <w:rsid w:val="003A4145"/>
    <w:rsid w:val="003A4D27"/>
    <w:rsid w:val="003A650C"/>
    <w:rsid w:val="003A6EED"/>
    <w:rsid w:val="003A7B4F"/>
    <w:rsid w:val="003A7CED"/>
    <w:rsid w:val="003B03C1"/>
    <w:rsid w:val="003B0794"/>
    <w:rsid w:val="003B0C27"/>
    <w:rsid w:val="003B1344"/>
    <w:rsid w:val="003B14DC"/>
    <w:rsid w:val="003B1A06"/>
    <w:rsid w:val="003B2F2A"/>
    <w:rsid w:val="003B3BB6"/>
    <w:rsid w:val="003B3E35"/>
    <w:rsid w:val="003B5DCE"/>
    <w:rsid w:val="003B651B"/>
    <w:rsid w:val="003B77BA"/>
    <w:rsid w:val="003C0CD7"/>
    <w:rsid w:val="003C170A"/>
    <w:rsid w:val="003C1BF4"/>
    <w:rsid w:val="003C1CD3"/>
    <w:rsid w:val="003C316D"/>
    <w:rsid w:val="003C4226"/>
    <w:rsid w:val="003C4484"/>
    <w:rsid w:val="003C5282"/>
    <w:rsid w:val="003C5B31"/>
    <w:rsid w:val="003C5BCB"/>
    <w:rsid w:val="003C6207"/>
    <w:rsid w:val="003C64AF"/>
    <w:rsid w:val="003C6C21"/>
    <w:rsid w:val="003C749B"/>
    <w:rsid w:val="003D21AD"/>
    <w:rsid w:val="003D36A6"/>
    <w:rsid w:val="003D4E3F"/>
    <w:rsid w:val="003D55F8"/>
    <w:rsid w:val="003D589B"/>
    <w:rsid w:val="003D5FD7"/>
    <w:rsid w:val="003E155B"/>
    <w:rsid w:val="003E1C2F"/>
    <w:rsid w:val="003E1DAE"/>
    <w:rsid w:val="003E2949"/>
    <w:rsid w:val="003E2CB5"/>
    <w:rsid w:val="003E4F82"/>
    <w:rsid w:val="003E5429"/>
    <w:rsid w:val="003E5ADD"/>
    <w:rsid w:val="003E688B"/>
    <w:rsid w:val="003E7600"/>
    <w:rsid w:val="003E7A11"/>
    <w:rsid w:val="003F16CA"/>
    <w:rsid w:val="003F1CDD"/>
    <w:rsid w:val="003F24F7"/>
    <w:rsid w:val="003F2CEC"/>
    <w:rsid w:val="003F2FD0"/>
    <w:rsid w:val="003F3C01"/>
    <w:rsid w:val="003F3E3B"/>
    <w:rsid w:val="003F5319"/>
    <w:rsid w:val="003F66BF"/>
    <w:rsid w:val="003F6C2D"/>
    <w:rsid w:val="003F7BAC"/>
    <w:rsid w:val="003F7F88"/>
    <w:rsid w:val="0040094E"/>
    <w:rsid w:val="004014AD"/>
    <w:rsid w:val="00403414"/>
    <w:rsid w:val="00404BFF"/>
    <w:rsid w:val="00407039"/>
    <w:rsid w:val="00407100"/>
    <w:rsid w:val="00407BDF"/>
    <w:rsid w:val="00407EE8"/>
    <w:rsid w:val="00411356"/>
    <w:rsid w:val="004114AC"/>
    <w:rsid w:val="004115B3"/>
    <w:rsid w:val="00411726"/>
    <w:rsid w:val="004117E7"/>
    <w:rsid w:val="00411A24"/>
    <w:rsid w:val="00413C72"/>
    <w:rsid w:val="00413E2E"/>
    <w:rsid w:val="00414760"/>
    <w:rsid w:val="00415C2A"/>
    <w:rsid w:val="00415CCD"/>
    <w:rsid w:val="004160DD"/>
    <w:rsid w:val="00421E6D"/>
    <w:rsid w:val="0042243A"/>
    <w:rsid w:val="00424573"/>
    <w:rsid w:val="0042488A"/>
    <w:rsid w:val="00424E32"/>
    <w:rsid w:val="00425641"/>
    <w:rsid w:val="00425E1E"/>
    <w:rsid w:val="004269DA"/>
    <w:rsid w:val="004277F1"/>
    <w:rsid w:val="00427B0C"/>
    <w:rsid w:val="00427DCF"/>
    <w:rsid w:val="00430202"/>
    <w:rsid w:val="0043064B"/>
    <w:rsid w:val="00431594"/>
    <w:rsid w:val="00431A31"/>
    <w:rsid w:val="00432B7D"/>
    <w:rsid w:val="00433092"/>
    <w:rsid w:val="0043340D"/>
    <w:rsid w:val="0043413F"/>
    <w:rsid w:val="00434150"/>
    <w:rsid w:val="004345AB"/>
    <w:rsid w:val="00434736"/>
    <w:rsid w:val="00435437"/>
    <w:rsid w:val="00436862"/>
    <w:rsid w:val="004372AC"/>
    <w:rsid w:val="00441072"/>
    <w:rsid w:val="00443761"/>
    <w:rsid w:val="00444BC9"/>
    <w:rsid w:val="00446877"/>
    <w:rsid w:val="004500F3"/>
    <w:rsid w:val="0045019A"/>
    <w:rsid w:val="00452C37"/>
    <w:rsid w:val="00453B59"/>
    <w:rsid w:val="004557E1"/>
    <w:rsid w:val="004627E1"/>
    <w:rsid w:val="00462D81"/>
    <w:rsid w:val="004635A7"/>
    <w:rsid w:val="00467119"/>
    <w:rsid w:val="004700C6"/>
    <w:rsid w:val="00470E97"/>
    <w:rsid w:val="00470FF4"/>
    <w:rsid w:val="00472C66"/>
    <w:rsid w:val="00472D82"/>
    <w:rsid w:val="004735E0"/>
    <w:rsid w:val="00473E1A"/>
    <w:rsid w:val="00474794"/>
    <w:rsid w:val="00474846"/>
    <w:rsid w:val="00475789"/>
    <w:rsid w:val="00476ED3"/>
    <w:rsid w:val="004828F9"/>
    <w:rsid w:val="0048386B"/>
    <w:rsid w:val="00483F27"/>
    <w:rsid w:val="004854B0"/>
    <w:rsid w:val="00486DAC"/>
    <w:rsid w:val="00486FAC"/>
    <w:rsid w:val="0049019B"/>
    <w:rsid w:val="00490AB1"/>
    <w:rsid w:val="0049112F"/>
    <w:rsid w:val="004924F1"/>
    <w:rsid w:val="004946EA"/>
    <w:rsid w:val="00495067"/>
    <w:rsid w:val="004952BF"/>
    <w:rsid w:val="0049551C"/>
    <w:rsid w:val="00496E4B"/>
    <w:rsid w:val="00497C1D"/>
    <w:rsid w:val="00497C62"/>
    <w:rsid w:val="004A1321"/>
    <w:rsid w:val="004A1ABD"/>
    <w:rsid w:val="004A2980"/>
    <w:rsid w:val="004A2A0E"/>
    <w:rsid w:val="004A46BF"/>
    <w:rsid w:val="004A493E"/>
    <w:rsid w:val="004A53ED"/>
    <w:rsid w:val="004A5AC6"/>
    <w:rsid w:val="004A5CEB"/>
    <w:rsid w:val="004A620B"/>
    <w:rsid w:val="004A6A76"/>
    <w:rsid w:val="004A7D62"/>
    <w:rsid w:val="004A7E9F"/>
    <w:rsid w:val="004B040E"/>
    <w:rsid w:val="004B0AFA"/>
    <w:rsid w:val="004B0C95"/>
    <w:rsid w:val="004B2397"/>
    <w:rsid w:val="004B441F"/>
    <w:rsid w:val="004B57B8"/>
    <w:rsid w:val="004B602F"/>
    <w:rsid w:val="004B75F9"/>
    <w:rsid w:val="004B7BDA"/>
    <w:rsid w:val="004C00FE"/>
    <w:rsid w:val="004C085F"/>
    <w:rsid w:val="004C0C6D"/>
    <w:rsid w:val="004C1388"/>
    <w:rsid w:val="004C19DD"/>
    <w:rsid w:val="004C235C"/>
    <w:rsid w:val="004C273A"/>
    <w:rsid w:val="004C2905"/>
    <w:rsid w:val="004C2A1A"/>
    <w:rsid w:val="004C2C3B"/>
    <w:rsid w:val="004C2F50"/>
    <w:rsid w:val="004C3F96"/>
    <w:rsid w:val="004C4A31"/>
    <w:rsid w:val="004C596D"/>
    <w:rsid w:val="004C5F83"/>
    <w:rsid w:val="004C60B2"/>
    <w:rsid w:val="004C610D"/>
    <w:rsid w:val="004C6124"/>
    <w:rsid w:val="004C62FC"/>
    <w:rsid w:val="004C6D16"/>
    <w:rsid w:val="004C7CA5"/>
    <w:rsid w:val="004C7ECE"/>
    <w:rsid w:val="004D078B"/>
    <w:rsid w:val="004D2C55"/>
    <w:rsid w:val="004D30BC"/>
    <w:rsid w:val="004D5430"/>
    <w:rsid w:val="004D55C0"/>
    <w:rsid w:val="004D6855"/>
    <w:rsid w:val="004D71B0"/>
    <w:rsid w:val="004D7A52"/>
    <w:rsid w:val="004D7C90"/>
    <w:rsid w:val="004D7F16"/>
    <w:rsid w:val="004E0B47"/>
    <w:rsid w:val="004E2285"/>
    <w:rsid w:val="004E2CF7"/>
    <w:rsid w:val="004E3950"/>
    <w:rsid w:val="004E520D"/>
    <w:rsid w:val="004E6325"/>
    <w:rsid w:val="004E6E98"/>
    <w:rsid w:val="004E736B"/>
    <w:rsid w:val="004E7822"/>
    <w:rsid w:val="004F04B1"/>
    <w:rsid w:val="004F0794"/>
    <w:rsid w:val="004F3EA6"/>
    <w:rsid w:val="004F4005"/>
    <w:rsid w:val="004F50D8"/>
    <w:rsid w:val="004F54BB"/>
    <w:rsid w:val="004F551C"/>
    <w:rsid w:val="004F57DA"/>
    <w:rsid w:val="004F5BAC"/>
    <w:rsid w:val="004F6E93"/>
    <w:rsid w:val="004F72EF"/>
    <w:rsid w:val="004F7CD1"/>
    <w:rsid w:val="005014DF"/>
    <w:rsid w:val="0050222E"/>
    <w:rsid w:val="005042BE"/>
    <w:rsid w:val="005058C6"/>
    <w:rsid w:val="005064EA"/>
    <w:rsid w:val="00506BCA"/>
    <w:rsid w:val="005101F8"/>
    <w:rsid w:val="005107F6"/>
    <w:rsid w:val="00510D18"/>
    <w:rsid w:val="0051215F"/>
    <w:rsid w:val="00513269"/>
    <w:rsid w:val="0051339B"/>
    <w:rsid w:val="00514C0C"/>
    <w:rsid w:val="0052017D"/>
    <w:rsid w:val="00520C51"/>
    <w:rsid w:val="00520EA6"/>
    <w:rsid w:val="00521E92"/>
    <w:rsid w:val="00522684"/>
    <w:rsid w:val="005228C9"/>
    <w:rsid w:val="005233F6"/>
    <w:rsid w:val="005237C9"/>
    <w:rsid w:val="00523B6F"/>
    <w:rsid w:val="00525178"/>
    <w:rsid w:val="00527F98"/>
    <w:rsid w:val="0053126F"/>
    <w:rsid w:val="00532D8F"/>
    <w:rsid w:val="0053358C"/>
    <w:rsid w:val="00533F92"/>
    <w:rsid w:val="0053489C"/>
    <w:rsid w:val="005355D7"/>
    <w:rsid w:val="00536706"/>
    <w:rsid w:val="005370B7"/>
    <w:rsid w:val="005372D2"/>
    <w:rsid w:val="00537700"/>
    <w:rsid w:val="005406B0"/>
    <w:rsid w:val="00540F96"/>
    <w:rsid w:val="00541E3C"/>
    <w:rsid w:val="005435FB"/>
    <w:rsid w:val="00543736"/>
    <w:rsid w:val="005438C9"/>
    <w:rsid w:val="00544E2F"/>
    <w:rsid w:val="00545BDA"/>
    <w:rsid w:val="00547FC0"/>
    <w:rsid w:val="00551791"/>
    <w:rsid w:val="005518E2"/>
    <w:rsid w:val="00553CBA"/>
    <w:rsid w:val="0055433E"/>
    <w:rsid w:val="00554439"/>
    <w:rsid w:val="005573C5"/>
    <w:rsid w:val="005576E1"/>
    <w:rsid w:val="00561898"/>
    <w:rsid w:val="00561ACB"/>
    <w:rsid w:val="005623FB"/>
    <w:rsid w:val="005637CA"/>
    <w:rsid w:val="005637EA"/>
    <w:rsid w:val="00564A81"/>
    <w:rsid w:val="00567EAE"/>
    <w:rsid w:val="00570912"/>
    <w:rsid w:val="005715BC"/>
    <w:rsid w:val="0057237B"/>
    <w:rsid w:val="00573FA6"/>
    <w:rsid w:val="00574DE8"/>
    <w:rsid w:val="00575299"/>
    <w:rsid w:val="005755A5"/>
    <w:rsid w:val="00576E8F"/>
    <w:rsid w:val="00577BBE"/>
    <w:rsid w:val="0058050B"/>
    <w:rsid w:val="0058279B"/>
    <w:rsid w:val="005827E1"/>
    <w:rsid w:val="0058349B"/>
    <w:rsid w:val="00584775"/>
    <w:rsid w:val="005847E8"/>
    <w:rsid w:val="00585F90"/>
    <w:rsid w:val="0058622B"/>
    <w:rsid w:val="00586D44"/>
    <w:rsid w:val="00587005"/>
    <w:rsid w:val="00587F68"/>
    <w:rsid w:val="00590EE7"/>
    <w:rsid w:val="005912AD"/>
    <w:rsid w:val="005942E6"/>
    <w:rsid w:val="00595846"/>
    <w:rsid w:val="005965E5"/>
    <w:rsid w:val="00596848"/>
    <w:rsid w:val="00597306"/>
    <w:rsid w:val="00597692"/>
    <w:rsid w:val="005A0BC2"/>
    <w:rsid w:val="005A11A2"/>
    <w:rsid w:val="005A26D7"/>
    <w:rsid w:val="005A2C0F"/>
    <w:rsid w:val="005A3041"/>
    <w:rsid w:val="005A47E6"/>
    <w:rsid w:val="005A5073"/>
    <w:rsid w:val="005A5979"/>
    <w:rsid w:val="005A6292"/>
    <w:rsid w:val="005A63C7"/>
    <w:rsid w:val="005B0456"/>
    <w:rsid w:val="005B09FA"/>
    <w:rsid w:val="005B101E"/>
    <w:rsid w:val="005B1030"/>
    <w:rsid w:val="005B17CA"/>
    <w:rsid w:val="005B28EA"/>
    <w:rsid w:val="005B4D90"/>
    <w:rsid w:val="005B651B"/>
    <w:rsid w:val="005B67B2"/>
    <w:rsid w:val="005B7D16"/>
    <w:rsid w:val="005C075F"/>
    <w:rsid w:val="005C08BA"/>
    <w:rsid w:val="005C1D3A"/>
    <w:rsid w:val="005C27A6"/>
    <w:rsid w:val="005C2C60"/>
    <w:rsid w:val="005C3324"/>
    <w:rsid w:val="005C478B"/>
    <w:rsid w:val="005D04A6"/>
    <w:rsid w:val="005D0DC2"/>
    <w:rsid w:val="005D24FB"/>
    <w:rsid w:val="005D2F78"/>
    <w:rsid w:val="005D4244"/>
    <w:rsid w:val="005D4424"/>
    <w:rsid w:val="005D548C"/>
    <w:rsid w:val="005D5B96"/>
    <w:rsid w:val="005D62AC"/>
    <w:rsid w:val="005D6AEC"/>
    <w:rsid w:val="005D70F1"/>
    <w:rsid w:val="005D7485"/>
    <w:rsid w:val="005D77CF"/>
    <w:rsid w:val="005E0026"/>
    <w:rsid w:val="005E09A3"/>
    <w:rsid w:val="005E3631"/>
    <w:rsid w:val="005E3A29"/>
    <w:rsid w:val="005E3B2C"/>
    <w:rsid w:val="005E532E"/>
    <w:rsid w:val="005E57B6"/>
    <w:rsid w:val="005E589C"/>
    <w:rsid w:val="005E6432"/>
    <w:rsid w:val="005E668A"/>
    <w:rsid w:val="005E7CEC"/>
    <w:rsid w:val="005E7F59"/>
    <w:rsid w:val="005F098C"/>
    <w:rsid w:val="005F15AF"/>
    <w:rsid w:val="005F192A"/>
    <w:rsid w:val="005F2DFC"/>
    <w:rsid w:val="005F32CD"/>
    <w:rsid w:val="005F3339"/>
    <w:rsid w:val="005F3A50"/>
    <w:rsid w:val="005F462A"/>
    <w:rsid w:val="005F509B"/>
    <w:rsid w:val="005F6699"/>
    <w:rsid w:val="005F6917"/>
    <w:rsid w:val="005F7D78"/>
    <w:rsid w:val="00600A85"/>
    <w:rsid w:val="006024EE"/>
    <w:rsid w:val="00603BBA"/>
    <w:rsid w:val="00603E62"/>
    <w:rsid w:val="00603E9B"/>
    <w:rsid w:val="00606D2E"/>
    <w:rsid w:val="00607C7B"/>
    <w:rsid w:val="00607D79"/>
    <w:rsid w:val="006106E7"/>
    <w:rsid w:val="0061240F"/>
    <w:rsid w:val="0061325A"/>
    <w:rsid w:val="0061342E"/>
    <w:rsid w:val="006137EE"/>
    <w:rsid w:val="00613DC3"/>
    <w:rsid w:val="00614935"/>
    <w:rsid w:val="00615889"/>
    <w:rsid w:val="006158E0"/>
    <w:rsid w:val="00617E11"/>
    <w:rsid w:val="00620917"/>
    <w:rsid w:val="0062093F"/>
    <w:rsid w:val="006223EA"/>
    <w:rsid w:val="006235E8"/>
    <w:rsid w:val="0062480C"/>
    <w:rsid w:val="00624A3B"/>
    <w:rsid w:val="00625277"/>
    <w:rsid w:val="00626DD2"/>
    <w:rsid w:val="00627EEA"/>
    <w:rsid w:val="006326F3"/>
    <w:rsid w:val="0063274A"/>
    <w:rsid w:val="006371AE"/>
    <w:rsid w:val="00637379"/>
    <w:rsid w:val="00640231"/>
    <w:rsid w:val="00640ACF"/>
    <w:rsid w:val="00641252"/>
    <w:rsid w:val="0064178A"/>
    <w:rsid w:val="006417CB"/>
    <w:rsid w:val="006437BD"/>
    <w:rsid w:val="006454B7"/>
    <w:rsid w:val="00645870"/>
    <w:rsid w:val="006477A8"/>
    <w:rsid w:val="006511E0"/>
    <w:rsid w:val="0065210D"/>
    <w:rsid w:val="00652783"/>
    <w:rsid w:val="00652C56"/>
    <w:rsid w:val="006541DF"/>
    <w:rsid w:val="006548A5"/>
    <w:rsid w:val="006548BF"/>
    <w:rsid w:val="00654B2F"/>
    <w:rsid w:val="00656F84"/>
    <w:rsid w:val="00657197"/>
    <w:rsid w:val="006600FD"/>
    <w:rsid w:val="006608E4"/>
    <w:rsid w:val="0066135C"/>
    <w:rsid w:val="00661673"/>
    <w:rsid w:val="0066218E"/>
    <w:rsid w:val="00663E86"/>
    <w:rsid w:val="00664F4F"/>
    <w:rsid w:val="00665082"/>
    <w:rsid w:val="006651B2"/>
    <w:rsid w:val="00666EC0"/>
    <w:rsid w:val="00667914"/>
    <w:rsid w:val="00667EA4"/>
    <w:rsid w:val="0067028D"/>
    <w:rsid w:val="006706DF"/>
    <w:rsid w:val="0067304A"/>
    <w:rsid w:val="006736CB"/>
    <w:rsid w:val="006748F0"/>
    <w:rsid w:val="00675539"/>
    <w:rsid w:val="00675618"/>
    <w:rsid w:val="006756D6"/>
    <w:rsid w:val="00675C1F"/>
    <w:rsid w:val="00676E4C"/>
    <w:rsid w:val="00676EB6"/>
    <w:rsid w:val="0068048D"/>
    <w:rsid w:val="0068310D"/>
    <w:rsid w:val="006839A3"/>
    <w:rsid w:val="00684143"/>
    <w:rsid w:val="00684665"/>
    <w:rsid w:val="0068503C"/>
    <w:rsid w:val="0068604D"/>
    <w:rsid w:val="0068674A"/>
    <w:rsid w:val="00690359"/>
    <w:rsid w:val="00690CFE"/>
    <w:rsid w:val="00690E0C"/>
    <w:rsid w:val="00691F99"/>
    <w:rsid w:val="00693425"/>
    <w:rsid w:val="00693BD8"/>
    <w:rsid w:val="006941FF"/>
    <w:rsid w:val="00694553"/>
    <w:rsid w:val="00694AC9"/>
    <w:rsid w:val="00695499"/>
    <w:rsid w:val="00695610"/>
    <w:rsid w:val="006958B3"/>
    <w:rsid w:val="00695ED0"/>
    <w:rsid w:val="006975FC"/>
    <w:rsid w:val="006A2779"/>
    <w:rsid w:val="006A3409"/>
    <w:rsid w:val="006A486C"/>
    <w:rsid w:val="006A4D44"/>
    <w:rsid w:val="006A4F58"/>
    <w:rsid w:val="006A5237"/>
    <w:rsid w:val="006A5FB6"/>
    <w:rsid w:val="006A7B30"/>
    <w:rsid w:val="006B06EC"/>
    <w:rsid w:val="006B0A4D"/>
    <w:rsid w:val="006B0B34"/>
    <w:rsid w:val="006B2445"/>
    <w:rsid w:val="006B2B23"/>
    <w:rsid w:val="006B2D36"/>
    <w:rsid w:val="006B40DF"/>
    <w:rsid w:val="006B46A0"/>
    <w:rsid w:val="006B5035"/>
    <w:rsid w:val="006B56D6"/>
    <w:rsid w:val="006B7352"/>
    <w:rsid w:val="006B7A37"/>
    <w:rsid w:val="006B7C24"/>
    <w:rsid w:val="006C0B64"/>
    <w:rsid w:val="006C0CE3"/>
    <w:rsid w:val="006C1169"/>
    <w:rsid w:val="006C12FB"/>
    <w:rsid w:val="006C277A"/>
    <w:rsid w:val="006C2B40"/>
    <w:rsid w:val="006C4309"/>
    <w:rsid w:val="006C45BE"/>
    <w:rsid w:val="006C45D4"/>
    <w:rsid w:val="006C4818"/>
    <w:rsid w:val="006C659F"/>
    <w:rsid w:val="006C72FD"/>
    <w:rsid w:val="006D0047"/>
    <w:rsid w:val="006D0455"/>
    <w:rsid w:val="006D0980"/>
    <w:rsid w:val="006D182A"/>
    <w:rsid w:val="006D2762"/>
    <w:rsid w:val="006D3462"/>
    <w:rsid w:val="006D3D2E"/>
    <w:rsid w:val="006D47E7"/>
    <w:rsid w:val="006D4D5F"/>
    <w:rsid w:val="006D5487"/>
    <w:rsid w:val="006D5AE0"/>
    <w:rsid w:val="006D7514"/>
    <w:rsid w:val="006D7C81"/>
    <w:rsid w:val="006D7D01"/>
    <w:rsid w:val="006E1BAC"/>
    <w:rsid w:val="006E3012"/>
    <w:rsid w:val="006E33A3"/>
    <w:rsid w:val="006E62F9"/>
    <w:rsid w:val="006E63E1"/>
    <w:rsid w:val="006E65FA"/>
    <w:rsid w:val="006E7192"/>
    <w:rsid w:val="006E74A5"/>
    <w:rsid w:val="006E791B"/>
    <w:rsid w:val="006F1B58"/>
    <w:rsid w:val="006F1B87"/>
    <w:rsid w:val="006F1BDE"/>
    <w:rsid w:val="006F28AD"/>
    <w:rsid w:val="006F2F5E"/>
    <w:rsid w:val="006F32AF"/>
    <w:rsid w:val="006F33BA"/>
    <w:rsid w:val="006F357E"/>
    <w:rsid w:val="006F3A55"/>
    <w:rsid w:val="006F4933"/>
    <w:rsid w:val="006F61DE"/>
    <w:rsid w:val="007002E5"/>
    <w:rsid w:val="00700422"/>
    <w:rsid w:val="00700B54"/>
    <w:rsid w:val="00701F0D"/>
    <w:rsid w:val="007023C3"/>
    <w:rsid w:val="007026A5"/>
    <w:rsid w:val="007044AC"/>
    <w:rsid w:val="0070469F"/>
    <w:rsid w:val="0070513A"/>
    <w:rsid w:val="007056D3"/>
    <w:rsid w:val="00705DD0"/>
    <w:rsid w:val="00706337"/>
    <w:rsid w:val="00706505"/>
    <w:rsid w:val="007069FD"/>
    <w:rsid w:val="00710437"/>
    <w:rsid w:val="00711373"/>
    <w:rsid w:val="0071198D"/>
    <w:rsid w:val="00711A94"/>
    <w:rsid w:val="00713552"/>
    <w:rsid w:val="00713555"/>
    <w:rsid w:val="0071369F"/>
    <w:rsid w:val="00715845"/>
    <w:rsid w:val="007179BF"/>
    <w:rsid w:val="00720D04"/>
    <w:rsid w:val="00720E01"/>
    <w:rsid w:val="00721AF4"/>
    <w:rsid w:val="00721BB9"/>
    <w:rsid w:val="00721FE2"/>
    <w:rsid w:val="00722711"/>
    <w:rsid w:val="0072281F"/>
    <w:rsid w:val="0072384B"/>
    <w:rsid w:val="00723E4B"/>
    <w:rsid w:val="00724199"/>
    <w:rsid w:val="007244DE"/>
    <w:rsid w:val="00726541"/>
    <w:rsid w:val="007269AD"/>
    <w:rsid w:val="00726FBC"/>
    <w:rsid w:val="007278B4"/>
    <w:rsid w:val="00727A9A"/>
    <w:rsid w:val="0073009F"/>
    <w:rsid w:val="00730849"/>
    <w:rsid w:val="00730C46"/>
    <w:rsid w:val="00733532"/>
    <w:rsid w:val="00734691"/>
    <w:rsid w:val="00734C76"/>
    <w:rsid w:val="007353F6"/>
    <w:rsid w:val="00735757"/>
    <w:rsid w:val="00735B8D"/>
    <w:rsid w:val="00736BC4"/>
    <w:rsid w:val="00736EC7"/>
    <w:rsid w:val="007400C4"/>
    <w:rsid w:val="007400FC"/>
    <w:rsid w:val="00740EC1"/>
    <w:rsid w:val="00741BF6"/>
    <w:rsid w:val="00742907"/>
    <w:rsid w:val="00742C7E"/>
    <w:rsid w:val="007438D5"/>
    <w:rsid w:val="00744333"/>
    <w:rsid w:val="0074594E"/>
    <w:rsid w:val="00745B10"/>
    <w:rsid w:val="007468CD"/>
    <w:rsid w:val="007479EF"/>
    <w:rsid w:val="00747B92"/>
    <w:rsid w:val="007521F2"/>
    <w:rsid w:val="007536CE"/>
    <w:rsid w:val="00754089"/>
    <w:rsid w:val="00756617"/>
    <w:rsid w:val="00756F17"/>
    <w:rsid w:val="0075770B"/>
    <w:rsid w:val="00760939"/>
    <w:rsid w:val="00761594"/>
    <w:rsid w:val="007618D1"/>
    <w:rsid w:val="00764E88"/>
    <w:rsid w:val="0076625F"/>
    <w:rsid w:val="00766BE0"/>
    <w:rsid w:val="007675B9"/>
    <w:rsid w:val="00770867"/>
    <w:rsid w:val="00770E9A"/>
    <w:rsid w:val="00773C22"/>
    <w:rsid w:val="00775C33"/>
    <w:rsid w:val="0078060A"/>
    <w:rsid w:val="0078091D"/>
    <w:rsid w:val="00780D0F"/>
    <w:rsid w:val="007814CD"/>
    <w:rsid w:val="00781CE4"/>
    <w:rsid w:val="007826D2"/>
    <w:rsid w:val="00782B8F"/>
    <w:rsid w:val="007836D7"/>
    <w:rsid w:val="00785511"/>
    <w:rsid w:val="00785598"/>
    <w:rsid w:val="00785C3D"/>
    <w:rsid w:val="00786122"/>
    <w:rsid w:val="00786155"/>
    <w:rsid w:val="00786D65"/>
    <w:rsid w:val="0078709C"/>
    <w:rsid w:val="00791535"/>
    <w:rsid w:val="007919C2"/>
    <w:rsid w:val="00791E27"/>
    <w:rsid w:val="00792897"/>
    <w:rsid w:val="00794441"/>
    <w:rsid w:val="00795922"/>
    <w:rsid w:val="00795EBA"/>
    <w:rsid w:val="00796E94"/>
    <w:rsid w:val="00797F67"/>
    <w:rsid w:val="007A0136"/>
    <w:rsid w:val="007A04C4"/>
    <w:rsid w:val="007A0A71"/>
    <w:rsid w:val="007A22DC"/>
    <w:rsid w:val="007A4032"/>
    <w:rsid w:val="007A41F8"/>
    <w:rsid w:val="007A4B10"/>
    <w:rsid w:val="007A4BE4"/>
    <w:rsid w:val="007A6531"/>
    <w:rsid w:val="007A67B0"/>
    <w:rsid w:val="007A7189"/>
    <w:rsid w:val="007A7B7F"/>
    <w:rsid w:val="007B02DD"/>
    <w:rsid w:val="007B2FA5"/>
    <w:rsid w:val="007B540F"/>
    <w:rsid w:val="007B67D8"/>
    <w:rsid w:val="007B6E3C"/>
    <w:rsid w:val="007B724B"/>
    <w:rsid w:val="007C0252"/>
    <w:rsid w:val="007C086F"/>
    <w:rsid w:val="007C252E"/>
    <w:rsid w:val="007C281F"/>
    <w:rsid w:val="007C34EE"/>
    <w:rsid w:val="007C3B1E"/>
    <w:rsid w:val="007C4903"/>
    <w:rsid w:val="007C4B19"/>
    <w:rsid w:val="007C593F"/>
    <w:rsid w:val="007C5C54"/>
    <w:rsid w:val="007C6E0F"/>
    <w:rsid w:val="007C7DDC"/>
    <w:rsid w:val="007D03C4"/>
    <w:rsid w:val="007D0D01"/>
    <w:rsid w:val="007D1C45"/>
    <w:rsid w:val="007D273E"/>
    <w:rsid w:val="007D384A"/>
    <w:rsid w:val="007D398F"/>
    <w:rsid w:val="007D39F8"/>
    <w:rsid w:val="007D595E"/>
    <w:rsid w:val="007D6B13"/>
    <w:rsid w:val="007D79C2"/>
    <w:rsid w:val="007D7ED4"/>
    <w:rsid w:val="007E3CF8"/>
    <w:rsid w:val="007E3E54"/>
    <w:rsid w:val="007E5161"/>
    <w:rsid w:val="007E67DD"/>
    <w:rsid w:val="007E78F6"/>
    <w:rsid w:val="007E7E2A"/>
    <w:rsid w:val="007F2492"/>
    <w:rsid w:val="007F2D5D"/>
    <w:rsid w:val="007F317B"/>
    <w:rsid w:val="007F31DF"/>
    <w:rsid w:val="007F5602"/>
    <w:rsid w:val="007F712D"/>
    <w:rsid w:val="007F7730"/>
    <w:rsid w:val="0080115C"/>
    <w:rsid w:val="00801279"/>
    <w:rsid w:val="00805737"/>
    <w:rsid w:val="00805F6A"/>
    <w:rsid w:val="008061AE"/>
    <w:rsid w:val="008074A4"/>
    <w:rsid w:val="0080763C"/>
    <w:rsid w:val="00811C07"/>
    <w:rsid w:val="008131FF"/>
    <w:rsid w:val="00814DC6"/>
    <w:rsid w:val="00814E3A"/>
    <w:rsid w:val="0081512F"/>
    <w:rsid w:val="00815895"/>
    <w:rsid w:val="008158A7"/>
    <w:rsid w:val="008166CE"/>
    <w:rsid w:val="00816F3D"/>
    <w:rsid w:val="00817A32"/>
    <w:rsid w:val="00821192"/>
    <w:rsid w:val="00821A66"/>
    <w:rsid w:val="008248A6"/>
    <w:rsid w:val="008248CA"/>
    <w:rsid w:val="0082576C"/>
    <w:rsid w:val="00825DED"/>
    <w:rsid w:val="0082673D"/>
    <w:rsid w:val="00826BCE"/>
    <w:rsid w:val="0082741A"/>
    <w:rsid w:val="00827C6C"/>
    <w:rsid w:val="008307DF"/>
    <w:rsid w:val="008309C1"/>
    <w:rsid w:val="00830ADA"/>
    <w:rsid w:val="00831A6E"/>
    <w:rsid w:val="008320ED"/>
    <w:rsid w:val="0083250D"/>
    <w:rsid w:val="00832A3B"/>
    <w:rsid w:val="00834D36"/>
    <w:rsid w:val="00835131"/>
    <w:rsid w:val="00835E94"/>
    <w:rsid w:val="0083662F"/>
    <w:rsid w:val="00836B8C"/>
    <w:rsid w:val="00840698"/>
    <w:rsid w:val="00840C1E"/>
    <w:rsid w:val="00840E3D"/>
    <w:rsid w:val="00840E65"/>
    <w:rsid w:val="008435D8"/>
    <w:rsid w:val="00843D39"/>
    <w:rsid w:val="00844859"/>
    <w:rsid w:val="00844A9B"/>
    <w:rsid w:val="00846001"/>
    <w:rsid w:val="008502E9"/>
    <w:rsid w:val="00850391"/>
    <w:rsid w:val="00851356"/>
    <w:rsid w:val="0085162A"/>
    <w:rsid w:val="00852710"/>
    <w:rsid w:val="0085327F"/>
    <w:rsid w:val="00853DF7"/>
    <w:rsid w:val="00853FEB"/>
    <w:rsid w:val="00854DED"/>
    <w:rsid w:val="00856114"/>
    <w:rsid w:val="00857AF2"/>
    <w:rsid w:val="0086063E"/>
    <w:rsid w:val="00860823"/>
    <w:rsid w:val="00861168"/>
    <w:rsid w:val="008612F9"/>
    <w:rsid w:val="0086147B"/>
    <w:rsid w:val="00861CEC"/>
    <w:rsid w:val="008629F3"/>
    <w:rsid w:val="00863222"/>
    <w:rsid w:val="00863EE6"/>
    <w:rsid w:val="00864A97"/>
    <w:rsid w:val="00866026"/>
    <w:rsid w:val="00866599"/>
    <w:rsid w:val="00867EAB"/>
    <w:rsid w:val="0087397D"/>
    <w:rsid w:val="008755CD"/>
    <w:rsid w:val="00876391"/>
    <w:rsid w:val="00880F25"/>
    <w:rsid w:val="00882A77"/>
    <w:rsid w:val="00882EB9"/>
    <w:rsid w:val="008837E0"/>
    <w:rsid w:val="00884F0F"/>
    <w:rsid w:val="00886289"/>
    <w:rsid w:val="00886332"/>
    <w:rsid w:val="00886A50"/>
    <w:rsid w:val="00890148"/>
    <w:rsid w:val="00891355"/>
    <w:rsid w:val="00892AC0"/>
    <w:rsid w:val="008948DE"/>
    <w:rsid w:val="00894B48"/>
    <w:rsid w:val="00894BB3"/>
    <w:rsid w:val="00894CCD"/>
    <w:rsid w:val="00895EA6"/>
    <w:rsid w:val="008960C1"/>
    <w:rsid w:val="00896E80"/>
    <w:rsid w:val="00897148"/>
    <w:rsid w:val="0089743C"/>
    <w:rsid w:val="00897913"/>
    <w:rsid w:val="008A0554"/>
    <w:rsid w:val="008A0C36"/>
    <w:rsid w:val="008A0C88"/>
    <w:rsid w:val="008A15A9"/>
    <w:rsid w:val="008A1D39"/>
    <w:rsid w:val="008A2881"/>
    <w:rsid w:val="008A3C9F"/>
    <w:rsid w:val="008A41A6"/>
    <w:rsid w:val="008A59B0"/>
    <w:rsid w:val="008A651A"/>
    <w:rsid w:val="008A6A9C"/>
    <w:rsid w:val="008A704C"/>
    <w:rsid w:val="008B1893"/>
    <w:rsid w:val="008B3255"/>
    <w:rsid w:val="008B377F"/>
    <w:rsid w:val="008B37E5"/>
    <w:rsid w:val="008B3CAF"/>
    <w:rsid w:val="008B660A"/>
    <w:rsid w:val="008B6DCA"/>
    <w:rsid w:val="008C023C"/>
    <w:rsid w:val="008C18E7"/>
    <w:rsid w:val="008C401D"/>
    <w:rsid w:val="008C4597"/>
    <w:rsid w:val="008C5045"/>
    <w:rsid w:val="008D0A16"/>
    <w:rsid w:val="008D1063"/>
    <w:rsid w:val="008D1E07"/>
    <w:rsid w:val="008D2208"/>
    <w:rsid w:val="008D25F4"/>
    <w:rsid w:val="008D280F"/>
    <w:rsid w:val="008D405D"/>
    <w:rsid w:val="008D48A4"/>
    <w:rsid w:val="008D5664"/>
    <w:rsid w:val="008D6674"/>
    <w:rsid w:val="008E0218"/>
    <w:rsid w:val="008E0F41"/>
    <w:rsid w:val="008E1041"/>
    <w:rsid w:val="008E1925"/>
    <w:rsid w:val="008E19F8"/>
    <w:rsid w:val="008E1A15"/>
    <w:rsid w:val="008E2C86"/>
    <w:rsid w:val="008E3869"/>
    <w:rsid w:val="008E40DE"/>
    <w:rsid w:val="008E4A9A"/>
    <w:rsid w:val="008E4FCC"/>
    <w:rsid w:val="008E6CA9"/>
    <w:rsid w:val="008F04C4"/>
    <w:rsid w:val="008F0E05"/>
    <w:rsid w:val="008F1CD3"/>
    <w:rsid w:val="008F5389"/>
    <w:rsid w:val="008F5845"/>
    <w:rsid w:val="008F6256"/>
    <w:rsid w:val="008F674A"/>
    <w:rsid w:val="008F7F8A"/>
    <w:rsid w:val="00900CC6"/>
    <w:rsid w:val="00901311"/>
    <w:rsid w:val="00901868"/>
    <w:rsid w:val="00902B2A"/>
    <w:rsid w:val="009041B1"/>
    <w:rsid w:val="00904AB2"/>
    <w:rsid w:val="0090631F"/>
    <w:rsid w:val="00906788"/>
    <w:rsid w:val="00906C80"/>
    <w:rsid w:val="00910074"/>
    <w:rsid w:val="009105B8"/>
    <w:rsid w:val="00912A8E"/>
    <w:rsid w:val="00913037"/>
    <w:rsid w:val="0091320F"/>
    <w:rsid w:val="009135BA"/>
    <w:rsid w:val="00915A65"/>
    <w:rsid w:val="00916140"/>
    <w:rsid w:val="009167A1"/>
    <w:rsid w:val="00916A3C"/>
    <w:rsid w:val="00917387"/>
    <w:rsid w:val="00920068"/>
    <w:rsid w:val="00920BEC"/>
    <w:rsid w:val="00922191"/>
    <w:rsid w:val="009222E9"/>
    <w:rsid w:val="009239BB"/>
    <w:rsid w:val="00923C6D"/>
    <w:rsid w:val="009252A4"/>
    <w:rsid w:val="00925428"/>
    <w:rsid w:val="00925847"/>
    <w:rsid w:val="009263A9"/>
    <w:rsid w:val="00931798"/>
    <w:rsid w:val="00931B39"/>
    <w:rsid w:val="009328FB"/>
    <w:rsid w:val="00933B4F"/>
    <w:rsid w:val="0093482F"/>
    <w:rsid w:val="0093523A"/>
    <w:rsid w:val="00936C1B"/>
    <w:rsid w:val="00937698"/>
    <w:rsid w:val="009403C5"/>
    <w:rsid w:val="00942239"/>
    <w:rsid w:val="0094336E"/>
    <w:rsid w:val="00943563"/>
    <w:rsid w:val="00943AB8"/>
    <w:rsid w:val="00943FE5"/>
    <w:rsid w:val="00944622"/>
    <w:rsid w:val="0094569B"/>
    <w:rsid w:val="00945B2E"/>
    <w:rsid w:val="009467B0"/>
    <w:rsid w:val="0094696F"/>
    <w:rsid w:val="00946D3C"/>
    <w:rsid w:val="0095087E"/>
    <w:rsid w:val="00950AA3"/>
    <w:rsid w:val="0095130A"/>
    <w:rsid w:val="00951540"/>
    <w:rsid w:val="00952098"/>
    <w:rsid w:val="009527FD"/>
    <w:rsid w:val="00953755"/>
    <w:rsid w:val="009540C3"/>
    <w:rsid w:val="0095487B"/>
    <w:rsid w:val="00954A0E"/>
    <w:rsid w:val="00954D95"/>
    <w:rsid w:val="00954DB8"/>
    <w:rsid w:val="0095579C"/>
    <w:rsid w:val="00956897"/>
    <w:rsid w:val="00957724"/>
    <w:rsid w:val="00957CE7"/>
    <w:rsid w:val="009637BE"/>
    <w:rsid w:val="00964175"/>
    <w:rsid w:val="00964A98"/>
    <w:rsid w:val="009657BE"/>
    <w:rsid w:val="009657FD"/>
    <w:rsid w:val="00966269"/>
    <w:rsid w:val="009664A9"/>
    <w:rsid w:val="009669DA"/>
    <w:rsid w:val="00967E44"/>
    <w:rsid w:val="009703A8"/>
    <w:rsid w:val="009706B6"/>
    <w:rsid w:val="00970A58"/>
    <w:rsid w:val="00970DA4"/>
    <w:rsid w:val="0097151F"/>
    <w:rsid w:val="0097180F"/>
    <w:rsid w:val="00971BA7"/>
    <w:rsid w:val="0097392A"/>
    <w:rsid w:val="0097489B"/>
    <w:rsid w:val="0097746A"/>
    <w:rsid w:val="009777E0"/>
    <w:rsid w:val="00981DFB"/>
    <w:rsid w:val="00984932"/>
    <w:rsid w:val="009853A2"/>
    <w:rsid w:val="00985726"/>
    <w:rsid w:val="00986BB0"/>
    <w:rsid w:val="0099073E"/>
    <w:rsid w:val="009907BC"/>
    <w:rsid w:val="00991F18"/>
    <w:rsid w:val="0099300E"/>
    <w:rsid w:val="00993AFE"/>
    <w:rsid w:val="00993CF3"/>
    <w:rsid w:val="00993DF3"/>
    <w:rsid w:val="00994D1E"/>
    <w:rsid w:val="00995365"/>
    <w:rsid w:val="00995B48"/>
    <w:rsid w:val="009969DB"/>
    <w:rsid w:val="00996FDB"/>
    <w:rsid w:val="009A0FE3"/>
    <w:rsid w:val="009A131A"/>
    <w:rsid w:val="009A1739"/>
    <w:rsid w:val="009A463E"/>
    <w:rsid w:val="009A5A69"/>
    <w:rsid w:val="009A5F02"/>
    <w:rsid w:val="009A77D9"/>
    <w:rsid w:val="009B0079"/>
    <w:rsid w:val="009B0890"/>
    <w:rsid w:val="009B0A60"/>
    <w:rsid w:val="009B0B17"/>
    <w:rsid w:val="009B1602"/>
    <w:rsid w:val="009B1F80"/>
    <w:rsid w:val="009B2215"/>
    <w:rsid w:val="009B25D3"/>
    <w:rsid w:val="009B342A"/>
    <w:rsid w:val="009B3621"/>
    <w:rsid w:val="009B42AB"/>
    <w:rsid w:val="009B4AE2"/>
    <w:rsid w:val="009B4FDB"/>
    <w:rsid w:val="009B5B98"/>
    <w:rsid w:val="009B5CAF"/>
    <w:rsid w:val="009B5CE8"/>
    <w:rsid w:val="009B6CC8"/>
    <w:rsid w:val="009B722A"/>
    <w:rsid w:val="009B784C"/>
    <w:rsid w:val="009B7C7F"/>
    <w:rsid w:val="009C007C"/>
    <w:rsid w:val="009C0917"/>
    <w:rsid w:val="009C094D"/>
    <w:rsid w:val="009C14E4"/>
    <w:rsid w:val="009C1A4F"/>
    <w:rsid w:val="009C2D27"/>
    <w:rsid w:val="009C4B8F"/>
    <w:rsid w:val="009C4F49"/>
    <w:rsid w:val="009C527D"/>
    <w:rsid w:val="009D0896"/>
    <w:rsid w:val="009D15E4"/>
    <w:rsid w:val="009D1DBE"/>
    <w:rsid w:val="009D245A"/>
    <w:rsid w:val="009D2870"/>
    <w:rsid w:val="009D2B06"/>
    <w:rsid w:val="009D2F0E"/>
    <w:rsid w:val="009D4CD6"/>
    <w:rsid w:val="009D5A13"/>
    <w:rsid w:val="009D628D"/>
    <w:rsid w:val="009D6F2E"/>
    <w:rsid w:val="009E0644"/>
    <w:rsid w:val="009E0726"/>
    <w:rsid w:val="009E24C4"/>
    <w:rsid w:val="009E2AB2"/>
    <w:rsid w:val="009E32C0"/>
    <w:rsid w:val="009E3B26"/>
    <w:rsid w:val="009E402D"/>
    <w:rsid w:val="009E50DA"/>
    <w:rsid w:val="009E5147"/>
    <w:rsid w:val="009E5507"/>
    <w:rsid w:val="009E6795"/>
    <w:rsid w:val="009E6C85"/>
    <w:rsid w:val="009F089A"/>
    <w:rsid w:val="009F13ED"/>
    <w:rsid w:val="009F258D"/>
    <w:rsid w:val="009F37AE"/>
    <w:rsid w:val="009F3914"/>
    <w:rsid w:val="009F432B"/>
    <w:rsid w:val="009F4878"/>
    <w:rsid w:val="009F4A06"/>
    <w:rsid w:val="009F5146"/>
    <w:rsid w:val="009F518B"/>
    <w:rsid w:val="009F5BCC"/>
    <w:rsid w:val="009F5D18"/>
    <w:rsid w:val="009F6ED5"/>
    <w:rsid w:val="00A00537"/>
    <w:rsid w:val="00A00C08"/>
    <w:rsid w:val="00A026A3"/>
    <w:rsid w:val="00A02B3E"/>
    <w:rsid w:val="00A02D92"/>
    <w:rsid w:val="00A033A8"/>
    <w:rsid w:val="00A042B3"/>
    <w:rsid w:val="00A05424"/>
    <w:rsid w:val="00A05588"/>
    <w:rsid w:val="00A0585B"/>
    <w:rsid w:val="00A064E7"/>
    <w:rsid w:val="00A066BC"/>
    <w:rsid w:val="00A12283"/>
    <w:rsid w:val="00A12402"/>
    <w:rsid w:val="00A13D3F"/>
    <w:rsid w:val="00A144CB"/>
    <w:rsid w:val="00A14B07"/>
    <w:rsid w:val="00A15143"/>
    <w:rsid w:val="00A151EE"/>
    <w:rsid w:val="00A16B11"/>
    <w:rsid w:val="00A16CD8"/>
    <w:rsid w:val="00A16D81"/>
    <w:rsid w:val="00A2023B"/>
    <w:rsid w:val="00A208D4"/>
    <w:rsid w:val="00A209C5"/>
    <w:rsid w:val="00A20D02"/>
    <w:rsid w:val="00A20F18"/>
    <w:rsid w:val="00A21524"/>
    <w:rsid w:val="00A2210C"/>
    <w:rsid w:val="00A22833"/>
    <w:rsid w:val="00A233F5"/>
    <w:rsid w:val="00A23F60"/>
    <w:rsid w:val="00A252F1"/>
    <w:rsid w:val="00A26C28"/>
    <w:rsid w:val="00A3078B"/>
    <w:rsid w:val="00A31758"/>
    <w:rsid w:val="00A323A5"/>
    <w:rsid w:val="00A3323C"/>
    <w:rsid w:val="00A3550C"/>
    <w:rsid w:val="00A360C6"/>
    <w:rsid w:val="00A36BD5"/>
    <w:rsid w:val="00A372B7"/>
    <w:rsid w:val="00A3766B"/>
    <w:rsid w:val="00A37B3A"/>
    <w:rsid w:val="00A4026D"/>
    <w:rsid w:val="00A4041E"/>
    <w:rsid w:val="00A409DE"/>
    <w:rsid w:val="00A4184D"/>
    <w:rsid w:val="00A440D5"/>
    <w:rsid w:val="00A46412"/>
    <w:rsid w:val="00A46C0C"/>
    <w:rsid w:val="00A47287"/>
    <w:rsid w:val="00A478D2"/>
    <w:rsid w:val="00A501ED"/>
    <w:rsid w:val="00A50FDB"/>
    <w:rsid w:val="00A5139E"/>
    <w:rsid w:val="00A51AB9"/>
    <w:rsid w:val="00A53025"/>
    <w:rsid w:val="00A54EF3"/>
    <w:rsid w:val="00A557EA"/>
    <w:rsid w:val="00A56B41"/>
    <w:rsid w:val="00A56F9B"/>
    <w:rsid w:val="00A6109E"/>
    <w:rsid w:val="00A61166"/>
    <w:rsid w:val="00A61C5A"/>
    <w:rsid w:val="00A6299E"/>
    <w:rsid w:val="00A62AC6"/>
    <w:rsid w:val="00A62D3E"/>
    <w:rsid w:val="00A637AB"/>
    <w:rsid w:val="00A64D85"/>
    <w:rsid w:val="00A66902"/>
    <w:rsid w:val="00A6695A"/>
    <w:rsid w:val="00A669FC"/>
    <w:rsid w:val="00A66C49"/>
    <w:rsid w:val="00A66DE6"/>
    <w:rsid w:val="00A7041C"/>
    <w:rsid w:val="00A70EEE"/>
    <w:rsid w:val="00A718DA"/>
    <w:rsid w:val="00A71B34"/>
    <w:rsid w:val="00A71D07"/>
    <w:rsid w:val="00A72AB1"/>
    <w:rsid w:val="00A73AAD"/>
    <w:rsid w:val="00A7472F"/>
    <w:rsid w:val="00A74CC8"/>
    <w:rsid w:val="00A74CD8"/>
    <w:rsid w:val="00A7511B"/>
    <w:rsid w:val="00A77895"/>
    <w:rsid w:val="00A77E01"/>
    <w:rsid w:val="00A81805"/>
    <w:rsid w:val="00A81BCE"/>
    <w:rsid w:val="00A81F7B"/>
    <w:rsid w:val="00A824C1"/>
    <w:rsid w:val="00A83255"/>
    <w:rsid w:val="00A83DA6"/>
    <w:rsid w:val="00A83FF9"/>
    <w:rsid w:val="00A86800"/>
    <w:rsid w:val="00A90522"/>
    <w:rsid w:val="00A91201"/>
    <w:rsid w:val="00A9148A"/>
    <w:rsid w:val="00A921D5"/>
    <w:rsid w:val="00A9269C"/>
    <w:rsid w:val="00A932B7"/>
    <w:rsid w:val="00A9436C"/>
    <w:rsid w:val="00A944C8"/>
    <w:rsid w:val="00A9484B"/>
    <w:rsid w:val="00A95AB6"/>
    <w:rsid w:val="00A96213"/>
    <w:rsid w:val="00A96BE1"/>
    <w:rsid w:val="00A97164"/>
    <w:rsid w:val="00A979E4"/>
    <w:rsid w:val="00AA07CD"/>
    <w:rsid w:val="00AA0810"/>
    <w:rsid w:val="00AA0BBA"/>
    <w:rsid w:val="00AA11D4"/>
    <w:rsid w:val="00AA288E"/>
    <w:rsid w:val="00AA2E8B"/>
    <w:rsid w:val="00AA3F3C"/>
    <w:rsid w:val="00AA4610"/>
    <w:rsid w:val="00AA537C"/>
    <w:rsid w:val="00AA6796"/>
    <w:rsid w:val="00AA6C8F"/>
    <w:rsid w:val="00AA7CED"/>
    <w:rsid w:val="00AB072D"/>
    <w:rsid w:val="00AB3507"/>
    <w:rsid w:val="00AB5EB2"/>
    <w:rsid w:val="00AB6AF6"/>
    <w:rsid w:val="00AC0F48"/>
    <w:rsid w:val="00AC1834"/>
    <w:rsid w:val="00AC3FBB"/>
    <w:rsid w:val="00AC42C3"/>
    <w:rsid w:val="00AC4481"/>
    <w:rsid w:val="00AD028E"/>
    <w:rsid w:val="00AD1A0A"/>
    <w:rsid w:val="00AD1DE8"/>
    <w:rsid w:val="00AD1FDE"/>
    <w:rsid w:val="00AD578A"/>
    <w:rsid w:val="00AD58C0"/>
    <w:rsid w:val="00AD6021"/>
    <w:rsid w:val="00AD6143"/>
    <w:rsid w:val="00AD639A"/>
    <w:rsid w:val="00AE1334"/>
    <w:rsid w:val="00AE1517"/>
    <w:rsid w:val="00AE26FC"/>
    <w:rsid w:val="00AE4DC1"/>
    <w:rsid w:val="00AE5582"/>
    <w:rsid w:val="00AE5B84"/>
    <w:rsid w:val="00AE6EBB"/>
    <w:rsid w:val="00AE74C2"/>
    <w:rsid w:val="00AF0051"/>
    <w:rsid w:val="00AF0566"/>
    <w:rsid w:val="00AF1F64"/>
    <w:rsid w:val="00AF2F51"/>
    <w:rsid w:val="00AF3D79"/>
    <w:rsid w:val="00AF4391"/>
    <w:rsid w:val="00AF49C0"/>
    <w:rsid w:val="00AF4DB5"/>
    <w:rsid w:val="00AF579B"/>
    <w:rsid w:val="00AF72CF"/>
    <w:rsid w:val="00B00911"/>
    <w:rsid w:val="00B012C8"/>
    <w:rsid w:val="00B014D0"/>
    <w:rsid w:val="00B03927"/>
    <w:rsid w:val="00B03CDC"/>
    <w:rsid w:val="00B100D6"/>
    <w:rsid w:val="00B10E6B"/>
    <w:rsid w:val="00B11396"/>
    <w:rsid w:val="00B12038"/>
    <w:rsid w:val="00B12B76"/>
    <w:rsid w:val="00B13276"/>
    <w:rsid w:val="00B1389F"/>
    <w:rsid w:val="00B147A7"/>
    <w:rsid w:val="00B159B3"/>
    <w:rsid w:val="00B1608C"/>
    <w:rsid w:val="00B16854"/>
    <w:rsid w:val="00B16B59"/>
    <w:rsid w:val="00B17303"/>
    <w:rsid w:val="00B17948"/>
    <w:rsid w:val="00B20B7A"/>
    <w:rsid w:val="00B20E3E"/>
    <w:rsid w:val="00B215C5"/>
    <w:rsid w:val="00B2169D"/>
    <w:rsid w:val="00B219D9"/>
    <w:rsid w:val="00B22226"/>
    <w:rsid w:val="00B231E7"/>
    <w:rsid w:val="00B2349D"/>
    <w:rsid w:val="00B2396A"/>
    <w:rsid w:val="00B262E5"/>
    <w:rsid w:val="00B263D1"/>
    <w:rsid w:val="00B270C6"/>
    <w:rsid w:val="00B271DD"/>
    <w:rsid w:val="00B31122"/>
    <w:rsid w:val="00B31477"/>
    <w:rsid w:val="00B3160E"/>
    <w:rsid w:val="00B336FC"/>
    <w:rsid w:val="00B364DD"/>
    <w:rsid w:val="00B467E3"/>
    <w:rsid w:val="00B4693C"/>
    <w:rsid w:val="00B46AB9"/>
    <w:rsid w:val="00B46E12"/>
    <w:rsid w:val="00B471CB"/>
    <w:rsid w:val="00B47491"/>
    <w:rsid w:val="00B47D0C"/>
    <w:rsid w:val="00B503B0"/>
    <w:rsid w:val="00B51009"/>
    <w:rsid w:val="00B5232A"/>
    <w:rsid w:val="00B52C1A"/>
    <w:rsid w:val="00B531F3"/>
    <w:rsid w:val="00B5494F"/>
    <w:rsid w:val="00B55020"/>
    <w:rsid w:val="00B5529F"/>
    <w:rsid w:val="00B55E40"/>
    <w:rsid w:val="00B56FC2"/>
    <w:rsid w:val="00B57020"/>
    <w:rsid w:val="00B57B2C"/>
    <w:rsid w:val="00B6048F"/>
    <w:rsid w:val="00B626BE"/>
    <w:rsid w:val="00B6427C"/>
    <w:rsid w:val="00B64401"/>
    <w:rsid w:val="00B6485F"/>
    <w:rsid w:val="00B67021"/>
    <w:rsid w:val="00B67062"/>
    <w:rsid w:val="00B6741C"/>
    <w:rsid w:val="00B70175"/>
    <w:rsid w:val="00B72082"/>
    <w:rsid w:val="00B72966"/>
    <w:rsid w:val="00B7365A"/>
    <w:rsid w:val="00B7472F"/>
    <w:rsid w:val="00B7595D"/>
    <w:rsid w:val="00B75B3B"/>
    <w:rsid w:val="00B75D99"/>
    <w:rsid w:val="00B76024"/>
    <w:rsid w:val="00B7694C"/>
    <w:rsid w:val="00B77099"/>
    <w:rsid w:val="00B77F06"/>
    <w:rsid w:val="00B8202B"/>
    <w:rsid w:val="00B829B4"/>
    <w:rsid w:val="00B8355B"/>
    <w:rsid w:val="00B838D5"/>
    <w:rsid w:val="00B83BB3"/>
    <w:rsid w:val="00B8429A"/>
    <w:rsid w:val="00B8438F"/>
    <w:rsid w:val="00B8520D"/>
    <w:rsid w:val="00B86F62"/>
    <w:rsid w:val="00B873CE"/>
    <w:rsid w:val="00B87579"/>
    <w:rsid w:val="00B90445"/>
    <w:rsid w:val="00B907C5"/>
    <w:rsid w:val="00B90D36"/>
    <w:rsid w:val="00B9323B"/>
    <w:rsid w:val="00B934AF"/>
    <w:rsid w:val="00B94808"/>
    <w:rsid w:val="00B948F4"/>
    <w:rsid w:val="00B9496C"/>
    <w:rsid w:val="00B9529A"/>
    <w:rsid w:val="00B95429"/>
    <w:rsid w:val="00B95F09"/>
    <w:rsid w:val="00B96438"/>
    <w:rsid w:val="00B97DEF"/>
    <w:rsid w:val="00BA0CFE"/>
    <w:rsid w:val="00BA131C"/>
    <w:rsid w:val="00BA18A3"/>
    <w:rsid w:val="00BA1CDA"/>
    <w:rsid w:val="00BA2DEC"/>
    <w:rsid w:val="00BA6EA3"/>
    <w:rsid w:val="00BB07FC"/>
    <w:rsid w:val="00BB1CB8"/>
    <w:rsid w:val="00BB1CCE"/>
    <w:rsid w:val="00BB334D"/>
    <w:rsid w:val="00BB3D11"/>
    <w:rsid w:val="00BB440E"/>
    <w:rsid w:val="00BB44CC"/>
    <w:rsid w:val="00BB4B34"/>
    <w:rsid w:val="00BB4BB3"/>
    <w:rsid w:val="00BB5128"/>
    <w:rsid w:val="00BB552A"/>
    <w:rsid w:val="00BB6341"/>
    <w:rsid w:val="00BB7451"/>
    <w:rsid w:val="00BC0809"/>
    <w:rsid w:val="00BC0BF0"/>
    <w:rsid w:val="00BC0EA0"/>
    <w:rsid w:val="00BC13B9"/>
    <w:rsid w:val="00BC1749"/>
    <w:rsid w:val="00BC205E"/>
    <w:rsid w:val="00BC2F7F"/>
    <w:rsid w:val="00BC3621"/>
    <w:rsid w:val="00BC3A8F"/>
    <w:rsid w:val="00BC3B1B"/>
    <w:rsid w:val="00BC3F90"/>
    <w:rsid w:val="00BC4034"/>
    <w:rsid w:val="00BC4E6C"/>
    <w:rsid w:val="00BC4F99"/>
    <w:rsid w:val="00BC60DC"/>
    <w:rsid w:val="00BC6276"/>
    <w:rsid w:val="00BC73E3"/>
    <w:rsid w:val="00BC7A7D"/>
    <w:rsid w:val="00BD0916"/>
    <w:rsid w:val="00BD19CE"/>
    <w:rsid w:val="00BD1B3D"/>
    <w:rsid w:val="00BD268B"/>
    <w:rsid w:val="00BD2BA3"/>
    <w:rsid w:val="00BD391D"/>
    <w:rsid w:val="00BD5BCD"/>
    <w:rsid w:val="00BD5FBC"/>
    <w:rsid w:val="00BD6736"/>
    <w:rsid w:val="00BD68BF"/>
    <w:rsid w:val="00BD6F2E"/>
    <w:rsid w:val="00BE0EA4"/>
    <w:rsid w:val="00BE0F8C"/>
    <w:rsid w:val="00BE145E"/>
    <w:rsid w:val="00BE165D"/>
    <w:rsid w:val="00BE2132"/>
    <w:rsid w:val="00BE4B16"/>
    <w:rsid w:val="00BE6039"/>
    <w:rsid w:val="00BE6A37"/>
    <w:rsid w:val="00BE736D"/>
    <w:rsid w:val="00BE7469"/>
    <w:rsid w:val="00BE7593"/>
    <w:rsid w:val="00BE77BC"/>
    <w:rsid w:val="00BF114F"/>
    <w:rsid w:val="00BF2566"/>
    <w:rsid w:val="00BF3BA8"/>
    <w:rsid w:val="00BF3C8A"/>
    <w:rsid w:val="00BF47C8"/>
    <w:rsid w:val="00BF4AEB"/>
    <w:rsid w:val="00BF62A7"/>
    <w:rsid w:val="00BF68D1"/>
    <w:rsid w:val="00BF704C"/>
    <w:rsid w:val="00BF756C"/>
    <w:rsid w:val="00BF791D"/>
    <w:rsid w:val="00BF7AF6"/>
    <w:rsid w:val="00C0069A"/>
    <w:rsid w:val="00C01185"/>
    <w:rsid w:val="00C01220"/>
    <w:rsid w:val="00C01FE2"/>
    <w:rsid w:val="00C02208"/>
    <w:rsid w:val="00C02CB9"/>
    <w:rsid w:val="00C0389A"/>
    <w:rsid w:val="00C03E92"/>
    <w:rsid w:val="00C042DC"/>
    <w:rsid w:val="00C05783"/>
    <w:rsid w:val="00C0604F"/>
    <w:rsid w:val="00C0620C"/>
    <w:rsid w:val="00C079E2"/>
    <w:rsid w:val="00C113A2"/>
    <w:rsid w:val="00C11A7D"/>
    <w:rsid w:val="00C12245"/>
    <w:rsid w:val="00C12AB3"/>
    <w:rsid w:val="00C12F7D"/>
    <w:rsid w:val="00C13DD3"/>
    <w:rsid w:val="00C146E0"/>
    <w:rsid w:val="00C1510C"/>
    <w:rsid w:val="00C171E7"/>
    <w:rsid w:val="00C17BCF"/>
    <w:rsid w:val="00C17C1A"/>
    <w:rsid w:val="00C17E20"/>
    <w:rsid w:val="00C20BD9"/>
    <w:rsid w:val="00C20DA4"/>
    <w:rsid w:val="00C21AFD"/>
    <w:rsid w:val="00C22CA3"/>
    <w:rsid w:val="00C23BBD"/>
    <w:rsid w:val="00C2485F"/>
    <w:rsid w:val="00C25E0D"/>
    <w:rsid w:val="00C25EF0"/>
    <w:rsid w:val="00C270DA"/>
    <w:rsid w:val="00C27198"/>
    <w:rsid w:val="00C27401"/>
    <w:rsid w:val="00C3112A"/>
    <w:rsid w:val="00C31633"/>
    <w:rsid w:val="00C33AD1"/>
    <w:rsid w:val="00C35536"/>
    <w:rsid w:val="00C35680"/>
    <w:rsid w:val="00C35B11"/>
    <w:rsid w:val="00C36AF6"/>
    <w:rsid w:val="00C36F81"/>
    <w:rsid w:val="00C37F2A"/>
    <w:rsid w:val="00C401C6"/>
    <w:rsid w:val="00C4043E"/>
    <w:rsid w:val="00C40774"/>
    <w:rsid w:val="00C40883"/>
    <w:rsid w:val="00C40E31"/>
    <w:rsid w:val="00C42185"/>
    <w:rsid w:val="00C43072"/>
    <w:rsid w:val="00C43387"/>
    <w:rsid w:val="00C43BA6"/>
    <w:rsid w:val="00C4482F"/>
    <w:rsid w:val="00C47073"/>
    <w:rsid w:val="00C47869"/>
    <w:rsid w:val="00C47F86"/>
    <w:rsid w:val="00C50691"/>
    <w:rsid w:val="00C50B90"/>
    <w:rsid w:val="00C51D2B"/>
    <w:rsid w:val="00C526B7"/>
    <w:rsid w:val="00C5315A"/>
    <w:rsid w:val="00C540BD"/>
    <w:rsid w:val="00C54225"/>
    <w:rsid w:val="00C54F70"/>
    <w:rsid w:val="00C562BB"/>
    <w:rsid w:val="00C575AA"/>
    <w:rsid w:val="00C57AF3"/>
    <w:rsid w:val="00C601FD"/>
    <w:rsid w:val="00C61394"/>
    <w:rsid w:val="00C63370"/>
    <w:rsid w:val="00C63399"/>
    <w:rsid w:val="00C644F0"/>
    <w:rsid w:val="00C657DC"/>
    <w:rsid w:val="00C6753C"/>
    <w:rsid w:val="00C701D7"/>
    <w:rsid w:val="00C71340"/>
    <w:rsid w:val="00C72437"/>
    <w:rsid w:val="00C7243E"/>
    <w:rsid w:val="00C72810"/>
    <w:rsid w:val="00C72C82"/>
    <w:rsid w:val="00C73C9C"/>
    <w:rsid w:val="00C749AB"/>
    <w:rsid w:val="00C74AA2"/>
    <w:rsid w:val="00C74EBF"/>
    <w:rsid w:val="00C76708"/>
    <w:rsid w:val="00C778C4"/>
    <w:rsid w:val="00C80551"/>
    <w:rsid w:val="00C81340"/>
    <w:rsid w:val="00C81AD5"/>
    <w:rsid w:val="00C826C0"/>
    <w:rsid w:val="00C83A8E"/>
    <w:rsid w:val="00C85147"/>
    <w:rsid w:val="00C873F7"/>
    <w:rsid w:val="00C87930"/>
    <w:rsid w:val="00C87A0C"/>
    <w:rsid w:val="00C90FBF"/>
    <w:rsid w:val="00C91376"/>
    <w:rsid w:val="00C91F25"/>
    <w:rsid w:val="00C91FF2"/>
    <w:rsid w:val="00C92F8E"/>
    <w:rsid w:val="00C938D5"/>
    <w:rsid w:val="00C94B2A"/>
    <w:rsid w:val="00C94C16"/>
    <w:rsid w:val="00C94DBD"/>
    <w:rsid w:val="00C95320"/>
    <w:rsid w:val="00C97BF0"/>
    <w:rsid w:val="00CA0445"/>
    <w:rsid w:val="00CA0E3F"/>
    <w:rsid w:val="00CA139B"/>
    <w:rsid w:val="00CA27AA"/>
    <w:rsid w:val="00CA30A2"/>
    <w:rsid w:val="00CA36F7"/>
    <w:rsid w:val="00CA37E9"/>
    <w:rsid w:val="00CA3990"/>
    <w:rsid w:val="00CA3A8E"/>
    <w:rsid w:val="00CA3F88"/>
    <w:rsid w:val="00CA40EF"/>
    <w:rsid w:val="00CA4F28"/>
    <w:rsid w:val="00CA58DF"/>
    <w:rsid w:val="00CA70D6"/>
    <w:rsid w:val="00CB10FE"/>
    <w:rsid w:val="00CB12AC"/>
    <w:rsid w:val="00CB1301"/>
    <w:rsid w:val="00CB152B"/>
    <w:rsid w:val="00CB15D8"/>
    <w:rsid w:val="00CB38C6"/>
    <w:rsid w:val="00CB3914"/>
    <w:rsid w:val="00CB5910"/>
    <w:rsid w:val="00CB7189"/>
    <w:rsid w:val="00CB73BD"/>
    <w:rsid w:val="00CB7AD3"/>
    <w:rsid w:val="00CC1803"/>
    <w:rsid w:val="00CC1C54"/>
    <w:rsid w:val="00CC1FA9"/>
    <w:rsid w:val="00CC27E2"/>
    <w:rsid w:val="00CC2BA5"/>
    <w:rsid w:val="00CC2C76"/>
    <w:rsid w:val="00CC2D9B"/>
    <w:rsid w:val="00CC2F5D"/>
    <w:rsid w:val="00CC44AA"/>
    <w:rsid w:val="00CC4B82"/>
    <w:rsid w:val="00CC531C"/>
    <w:rsid w:val="00CC55DB"/>
    <w:rsid w:val="00CC5DDE"/>
    <w:rsid w:val="00CC63A3"/>
    <w:rsid w:val="00CC6EFC"/>
    <w:rsid w:val="00CC71C7"/>
    <w:rsid w:val="00CC7708"/>
    <w:rsid w:val="00CD18FF"/>
    <w:rsid w:val="00CD208F"/>
    <w:rsid w:val="00CD2B54"/>
    <w:rsid w:val="00CD6502"/>
    <w:rsid w:val="00CD691E"/>
    <w:rsid w:val="00CD70FC"/>
    <w:rsid w:val="00CD7BDD"/>
    <w:rsid w:val="00CD7E53"/>
    <w:rsid w:val="00CE3B6E"/>
    <w:rsid w:val="00CE3CDB"/>
    <w:rsid w:val="00CE414A"/>
    <w:rsid w:val="00CE4656"/>
    <w:rsid w:val="00CE4741"/>
    <w:rsid w:val="00CE5431"/>
    <w:rsid w:val="00CE63DF"/>
    <w:rsid w:val="00CE6B3A"/>
    <w:rsid w:val="00CE6FCC"/>
    <w:rsid w:val="00CE748C"/>
    <w:rsid w:val="00CE76AF"/>
    <w:rsid w:val="00CE7704"/>
    <w:rsid w:val="00CE77DA"/>
    <w:rsid w:val="00CF01AD"/>
    <w:rsid w:val="00CF23F0"/>
    <w:rsid w:val="00CF281B"/>
    <w:rsid w:val="00CF298C"/>
    <w:rsid w:val="00CF2F6F"/>
    <w:rsid w:val="00CF34D9"/>
    <w:rsid w:val="00CF3615"/>
    <w:rsid w:val="00CF3A66"/>
    <w:rsid w:val="00CF572B"/>
    <w:rsid w:val="00CF58C5"/>
    <w:rsid w:val="00CF66FC"/>
    <w:rsid w:val="00CF7169"/>
    <w:rsid w:val="00CF7449"/>
    <w:rsid w:val="00CF7800"/>
    <w:rsid w:val="00CF79BA"/>
    <w:rsid w:val="00D02BCD"/>
    <w:rsid w:val="00D02C18"/>
    <w:rsid w:val="00D02D7E"/>
    <w:rsid w:val="00D0417C"/>
    <w:rsid w:val="00D04338"/>
    <w:rsid w:val="00D06176"/>
    <w:rsid w:val="00D06742"/>
    <w:rsid w:val="00D07171"/>
    <w:rsid w:val="00D076F7"/>
    <w:rsid w:val="00D07E97"/>
    <w:rsid w:val="00D1007D"/>
    <w:rsid w:val="00D11F04"/>
    <w:rsid w:val="00D11F98"/>
    <w:rsid w:val="00D11FE7"/>
    <w:rsid w:val="00D12B08"/>
    <w:rsid w:val="00D12F98"/>
    <w:rsid w:val="00D1493A"/>
    <w:rsid w:val="00D14CFD"/>
    <w:rsid w:val="00D15B52"/>
    <w:rsid w:val="00D16D27"/>
    <w:rsid w:val="00D178E7"/>
    <w:rsid w:val="00D2120E"/>
    <w:rsid w:val="00D22EA2"/>
    <w:rsid w:val="00D247D3"/>
    <w:rsid w:val="00D24DB5"/>
    <w:rsid w:val="00D25B40"/>
    <w:rsid w:val="00D261FE"/>
    <w:rsid w:val="00D26A84"/>
    <w:rsid w:val="00D2787C"/>
    <w:rsid w:val="00D306E3"/>
    <w:rsid w:val="00D30B24"/>
    <w:rsid w:val="00D31396"/>
    <w:rsid w:val="00D33E67"/>
    <w:rsid w:val="00D34C55"/>
    <w:rsid w:val="00D3543F"/>
    <w:rsid w:val="00D3771D"/>
    <w:rsid w:val="00D412CC"/>
    <w:rsid w:val="00D4133E"/>
    <w:rsid w:val="00D41A5A"/>
    <w:rsid w:val="00D42F11"/>
    <w:rsid w:val="00D4411F"/>
    <w:rsid w:val="00D44180"/>
    <w:rsid w:val="00D46271"/>
    <w:rsid w:val="00D464E2"/>
    <w:rsid w:val="00D46692"/>
    <w:rsid w:val="00D46E3D"/>
    <w:rsid w:val="00D4700E"/>
    <w:rsid w:val="00D51CB0"/>
    <w:rsid w:val="00D5213E"/>
    <w:rsid w:val="00D52C8B"/>
    <w:rsid w:val="00D534A3"/>
    <w:rsid w:val="00D53C7B"/>
    <w:rsid w:val="00D54B90"/>
    <w:rsid w:val="00D554C6"/>
    <w:rsid w:val="00D60C93"/>
    <w:rsid w:val="00D60CF7"/>
    <w:rsid w:val="00D648EA"/>
    <w:rsid w:val="00D65BF6"/>
    <w:rsid w:val="00D6710E"/>
    <w:rsid w:val="00D671F6"/>
    <w:rsid w:val="00D70613"/>
    <w:rsid w:val="00D71525"/>
    <w:rsid w:val="00D71594"/>
    <w:rsid w:val="00D73D36"/>
    <w:rsid w:val="00D745FB"/>
    <w:rsid w:val="00D74809"/>
    <w:rsid w:val="00D7725B"/>
    <w:rsid w:val="00D77416"/>
    <w:rsid w:val="00D77480"/>
    <w:rsid w:val="00D7772C"/>
    <w:rsid w:val="00D779E2"/>
    <w:rsid w:val="00D80AE2"/>
    <w:rsid w:val="00D80CCE"/>
    <w:rsid w:val="00D821DC"/>
    <w:rsid w:val="00D82BB6"/>
    <w:rsid w:val="00D83DE4"/>
    <w:rsid w:val="00D84683"/>
    <w:rsid w:val="00D8492A"/>
    <w:rsid w:val="00D84E74"/>
    <w:rsid w:val="00D8635C"/>
    <w:rsid w:val="00D87C27"/>
    <w:rsid w:val="00D87F64"/>
    <w:rsid w:val="00D915DD"/>
    <w:rsid w:val="00D92984"/>
    <w:rsid w:val="00D9344D"/>
    <w:rsid w:val="00D94626"/>
    <w:rsid w:val="00D94FF9"/>
    <w:rsid w:val="00D96B1E"/>
    <w:rsid w:val="00D96BC6"/>
    <w:rsid w:val="00DA04AC"/>
    <w:rsid w:val="00DA3B2F"/>
    <w:rsid w:val="00DA3C4B"/>
    <w:rsid w:val="00DA4EEB"/>
    <w:rsid w:val="00DA6744"/>
    <w:rsid w:val="00DA781B"/>
    <w:rsid w:val="00DB0E0E"/>
    <w:rsid w:val="00DB1022"/>
    <w:rsid w:val="00DB4CC1"/>
    <w:rsid w:val="00DB4E88"/>
    <w:rsid w:val="00DB5724"/>
    <w:rsid w:val="00DB5C03"/>
    <w:rsid w:val="00DB5CD7"/>
    <w:rsid w:val="00DB75BD"/>
    <w:rsid w:val="00DC17BC"/>
    <w:rsid w:val="00DC2475"/>
    <w:rsid w:val="00DC2CD5"/>
    <w:rsid w:val="00DC3BBE"/>
    <w:rsid w:val="00DC5C1F"/>
    <w:rsid w:val="00DC5E77"/>
    <w:rsid w:val="00DC71A1"/>
    <w:rsid w:val="00DC7CB2"/>
    <w:rsid w:val="00DD28E8"/>
    <w:rsid w:val="00DD2EA1"/>
    <w:rsid w:val="00DD317B"/>
    <w:rsid w:val="00DD5079"/>
    <w:rsid w:val="00DD58D7"/>
    <w:rsid w:val="00DD603E"/>
    <w:rsid w:val="00DD636F"/>
    <w:rsid w:val="00DE00B3"/>
    <w:rsid w:val="00DE138D"/>
    <w:rsid w:val="00DE15BA"/>
    <w:rsid w:val="00DE1DDC"/>
    <w:rsid w:val="00DE1E56"/>
    <w:rsid w:val="00DE2F95"/>
    <w:rsid w:val="00DE4632"/>
    <w:rsid w:val="00DE5335"/>
    <w:rsid w:val="00DE556A"/>
    <w:rsid w:val="00DE56D8"/>
    <w:rsid w:val="00DE61DC"/>
    <w:rsid w:val="00DE751A"/>
    <w:rsid w:val="00DE7B0B"/>
    <w:rsid w:val="00DE7DCC"/>
    <w:rsid w:val="00DF1A16"/>
    <w:rsid w:val="00DF2536"/>
    <w:rsid w:val="00DF275F"/>
    <w:rsid w:val="00DF2E30"/>
    <w:rsid w:val="00DF3117"/>
    <w:rsid w:val="00DF3215"/>
    <w:rsid w:val="00DF362E"/>
    <w:rsid w:val="00DF4AF6"/>
    <w:rsid w:val="00DF5077"/>
    <w:rsid w:val="00DF692D"/>
    <w:rsid w:val="00DF69D1"/>
    <w:rsid w:val="00DF7148"/>
    <w:rsid w:val="00DF7E90"/>
    <w:rsid w:val="00E001B0"/>
    <w:rsid w:val="00E02EE4"/>
    <w:rsid w:val="00E03340"/>
    <w:rsid w:val="00E03C9B"/>
    <w:rsid w:val="00E04B6F"/>
    <w:rsid w:val="00E06BCF"/>
    <w:rsid w:val="00E07E3C"/>
    <w:rsid w:val="00E1039A"/>
    <w:rsid w:val="00E1154A"/>
    <w:rsid w:val="00E11FF7"/>
    <w:rsid w:val="00E12969"/>
    <w:rsid w:val="00E13E06"/>
    <w:rsid w:val="00E143E6"/>
    <w:rsid w:val="00E1720C"/>
    <w:rsid w:val="00E202C5"/>
    <w:rsid w:val="00E22D00"/>
    <w:rsid w:val="00E234C7"/>
    <w:rsid w:val="00E23B63"/>
    <w:rsid w:val="00E24ACC"/>
    <w:rsid w:val="00E24B39"/>
    <w:rsid w:val="00E26661"/>
    <w:rsid w:val="00E27A40"/>
    <w:rsid w:val="00E27C53"/>
    <w:rsid w:val="00E35536"/>
    <w:rsid w:val="00E35D57"/>
    <w:rsid w:val="00E362D3"/>
    <w:rsid w:val="00E36C90"/>
    <w:rsid w:val="00E37202"/>
    <w:rsid w:val="00E37EFD"/>
    <w:rsid w:val="00E40351"/>
    <w:rsid w:val="00E40A02"/>
    <w:rsid w:val="00E40A43"/>
    <w:rsid w:val="00E410AF"/>
    <w:rsid w:val="00E4123F"/>
    <w:rsid w:val="00E4657C"/>
    <w:rsid w:val="00E4735D"/>
    <w:rsid w:val="00E47EEF"/>
    <w:rsid w:val="00E52DDD"/>
    <w:rsid w:val="00E54DEC"/>
    <w:rsid w:val="00E5571B"/>
    <w:rsid w:val="00E61849"/>
    <w:rsid w:val="00E62363"/>
    <w:rsid w:val="00E662BF"/>
    <w:rsid w:val="00E66987"/>
    <w:rsid w:val="00E6777E"/>
    <w:rsid w:val="00E725BA"/>
    <w:rsid w:val="00E7261A"/>
    <w:rsid w:val="00E73E67"/>
    <w:rsid w:val="00E73EF1"/>
    <w:rsid w:val="00E7437B"/>
    <w:rsid w:val="00E757B1"/>
    <w:rsid w:val="00E759EE"/>
    <w:rsid w:val="00E75C3E"/>
    <w:rsid w:val="00E75ECA"/>
    <w:rsid w:val="00E767C9"/>
    <w:rsid w:val="00E77138"/>
    <w:rsid w:val="00E77922"/>
    <w:rsid w:val="00E80161"/>
    <w:rsid w:val="00E80A62"/>
    <w:rsid w:val="00E836F6"/>
    <w:rsid w:val="00E8551C"/>
    <w:rsid w:val="00E8596C"/>
    <w:rsid w:val="00E86CAB"/>
    <w:rsid w:val="00E86DBA"/>
    <w:rsid w:val="00E87603"/>
    <w:rsid w:val="00E90AB6"/>
    <w:rsid w:val="00E90B0E"/>
    <w:rsid w:val="00E9185C"/>
    <w:rsid w:val="00E92275"/>
    <w:rsid w:val="00E92E72"/>
    <w:rsid w:val="00E93BEB"/>
    <w:rsid w:val="00E94FCC"/>
    <w:rsid w:val="00E96746"/>
    <w:rsid w:val="00E97566"/>
    <w:rsid w:val="00EA06E9"/>
    <w:rsid w:val="00EA1DA3"/>
    <w:rsid w:val="00EA766C"/>
    <w:rsid w:val="00EA7E80"/>
    <w:rsid w:val="00EB016F"/>
    <w:rsid w:val="00EB0638"/>
    <w:rsid w:val="00EB18E5"/>
    <w:rsid w:val="00EB2A64"/>
    <w:rsid w:val="00EB31F9"/>
    <w:rsid w:val="00EB3404"/>
    <w:rsid w:val="00EB4E69"/>
    <w:rsid w:val="00EB56E6"/>
    <w:rsid w:val="00EB5DCD"/>
    <w:rsid w:val="00EB6B72"/>
    <w:rsid w:val="00EB706E"/>
    <w:rsid w:val="00EC0CFD"/>
    <w:rsid w:val="00EC1666"/>
    <w:rsid w:val="00EC2B62"/>
    <w:rsid w:val="00EC354F"/>
    <w:rsid w:val="00EC47DC"/>
    <w:rsid w:val="00EC4DB6"/>
    <w:rsid w:val="00EC53C9"/>
    <w:rsid w:val="00EC60F9"/>
    <w:rsid w:val="00EC65C0"/>
    <w:rsid w:val="00EC6A86"/>
    <w:rsid w:val="00EC77F7"/>
    <w:rsid w:val="00ED0778"/>
    <w:rsid w:val="00ED17C4"/>
    <w:rsid w:val="00ED373A"/>
    <w:rsid w:val="00ED3D33"/>
    <w:rsid w:val="00ED5D37"/>
    <w:rsid w:val="00ED77B3"/>
    <w:rsid w:val="00ED7DA5"/>
    <w:rsid w:val="00EE08F7"/>
    <w:rsid w:val="00EE1854"/>
    <w:rsid w:val="00EE1C04"/>
    <w:rsid w:val="00EE2C55"/>
    <w:rsid w:val="00EE3C7B"/>
    <w:rsid w:val="00EE3D8E"/>
    <w:rsid w:val="00EE3D95"/>
    <w:rsid w:val="00EE4414"/>
    <w:rsid w:val="00EE543A"/>
    <w:rsid w:val="00EE64DF"/>
    <w:rsid w:val="00EE6A15"/>
    <w:rsid w:val="00EE719F"/>
    <w:rsid w:val="00EE7ACB"/>
    <w:rsid w:val="00EF3606"/>
    <w:rsid w:val="00EF5A32"/>
    <w:rsid w:val="00EF5C85"/>
    <w:rsid w:val="00EF5EE8"/>
    <w:rsid w:val="00EF641A"/>
    <w:rsid w:val="00EF7633"/>
    <w:rsid w:val="00F001BD"/>
    <w:rsid w:val="00F008FC"/>
    <w:rsid w:val="00F01713"/>
    <w:rsid w:val="00F01883"/>
    <w:rsid w:val="00F01FE7"/>
    <w:rsid w:val="00F02100"/>
    <w:rsid w:val="00F030A4"/>
    <w:rsid w:val="00F03225"/>
    <w:rsid w:val="00F05256"/>
    <w:rsid w:val="00F054FE"/>
    <w:rsid w:val="00F06073"/>
    <w:rsid w:val="00F07831"/>
    <w:rsid w:val="00F07F8E"/>
    <w:rsid w:val="00F1185C"/>
    <w:rsid w:val="00F11FF6"/>
    <w:rsid w:val="00F137A2"/>
    <w:rsid w:val="00F13ADB"/>
    <w:rsid w:val="00F13CC6"/>
    <w:rsid w:val="00F15636"/>
    <w:rsid w:val="00F17598"/>
    <w:rsid w:val="00F17CAB"/>
    <w:rsid w:val="00F21084"/>
    <w:rsid w:val="00F22BC0"/>
    <w:rsid w:val="00F2316C"/>
    <w:rsid w:val="00F2354C"/>
    <w:rsid w:val="00F23B16"/>
    <w:rsid w:val="00F24321"/>
    <w:rsid w:val="00F24677"/>
    <w:rsid w:val="00F24729"/>
    <w:rsid w:val="00F25107"/>
    <w:rsid w:val="00F256F9"/>
    <w:rsid w:val="00F273C5"/>
    <w:rsid w:val="00F300AF"/>
    <w:rsid w:val="00F303D4"/>
    <w:rsid w:val="00F30CF0"/>
    <w:rsid w:val="00F311E1"/>
    <w:rsid w:val="00F31280"/>
    <w:rsid w:val="00F3608E"/>
    <w:rsid w:val="00F37AF3"/>
    <w:rsid w:val="00F405E4"/>
    <w:rsid w:val="00F40724"/>
    <w:rsid w:val="00F40923"/>
    <w:rsid w:val="00F40AE3"/>
    <w:rsid w:val="00F428DA"/>
    <w:rsid w:val="00F4392A"/>
    <w:rsid w:val="00F44FB3"/>
    <w:rsid w:val="00F45102"/>
    <w:rsid w:val="00F456CE"/>
    <w:rsid w:val="00F4637B"/>
    <w:rsid w:val="00F47581"/>
    <w:rsid w:val="00F50BFC"/>
    <w:rsid w:val="00F516D5"/>
    <w:rsid w:val="00F51DC3"/>
    <w:rsid w:val="00F51E24"/>
    <w:rsid w:val="00F52BDD"/>
    <w:rsid w:val="00F55388"/>
    <w:rsid w:val="00F55BC0"/>
    <w:rsid w:val="00F57E53"/>
    <w:rsid w:val="00F6012E"/>
    <w:rsid w:val="00F601AC"/>
    <w:rsid w:val="00F61235"/>
    <w:rsid w:val="00F624AC"/>
    <w:rsid w:val="00F62E88"/>
    <w:rsid w:val="00F632BB"/>
    <w:rsid w:val="00F63428"/>
    <w:rsid w:val="00F63763"/>
    <w:rsid w:val="00F640E0"/>
    <w:rsid w:val="00F656B5"/>
    <w:rsid w:val="00F66B92"/>
    <w:rsid w:val="00F71727"/>
    <w:rsid w:val="00F760EA"/>
    <w:rsid w:val="00F76964"/>
    <w:rsid w:val="00F77DD2"/>
    <w:rsid w:val="00F80881"/>
    <w:rsid w:val="00F81230"/>
    <w:rsid w:val="00F8284A"/>
    <w:rsid w:val="00F851B1"/>
    <w:rsid w:val="00F8633C"/>
    <w:rsid w:val="00F917FE"/>
    <w:rsid w:val="00F926CA"/>
    <w:rsid w:val="00F933DC"/>
    <w:rsid w:val="00F93BFA"/>
    <w:rsid w:val="00F9486A"/>
    <w:rsid w:val="00F94CFA"/>
    <w:rsid w:val="00F96AE6"/>
    <w:rsid w:val="00FA163D"/>
    <w:rsid w:val="00FA192F"/>
    <w:rsid w:val="00FA1D7F"/>
    <w:rsid w:val="00FA2D65"/>
    <w:rsid w:val="00FA325A"/>
    <w:rsid w:val="00FA32B7"/>
    <w:rsid w:val="00FA5B2C"/>
    <w:rsid w:val="00FA5F28"/>
    <w:rsid w:val="00FA65C1"/>
    <w:rsid w:val="00FA67AF"/>
    <w:rsid w:val="00FA7826"/>
    <w:rsid w:val="00FA78C7"/>
    <w:rsid w:val="00FA7942"/>
    <w:rsid w:val="00FB0322"/>
    <w:rsid w:val="00FB07CC"/>
    <w:rsid w:val="00FB17F5"/>
    <w:rsid w:val="00FB1C56"/>
    <w:rsid w:val="00FB2B61"/>
    <w:rsid w:val="00FB31ED"/>
    <w:rsid w:val="00FB3FB4"/>
    <w:rsid w:val="00FB46A5"/>
    <w:rsid w:val="00FB6D71"/>
    <w:rsid w:val="00FB72DC"/>
    <w:rsid w:val="00FB7824"/>
    <w:rsid w:val="00FB7E10"/>
    <w:rsid w:val="00FC051F"/>
    <w:rsid w:val="00FC0D9D"/>
    <w:rsid w:val="00FC32F1"/>
    <w:rsid w:val="00FC61C8"/>
    <w:rsid w:val="00FC68CD"/>
    <w:rsid w:val="00FD00D7"/>
    <w:rsid w:val="00FD06C6"/>
    <w:rsid w:val="00FD0868"/>
    <w:rsid w:val="00FD1497"/>
    <w:rsid w:val="00FD32C5"/>
    <w:rsid w:val="00FD4426"/>
    <w:rsid w:val="00FD4832"/>
    <w:rsid w:val="00FD4EAB"/>
    <w:rsid w:val="00FD5410"/>
    <w:rsid w:val="00FD7D33"/>
    <w:rsid w:val="00FE0319"/>
    <w:rsid w:val="00FE101C"/>
    <w:rsid w:val="00FE16A1"/>
    <w:rsid w:val="00FE32CD"/>
    <w:rsid w:val="00FE33A4"/>
    <w:rsid w:val="00FE3EF7"/>
    <w:rsid w:val="00FE7D83"/>
    <w:rsid w:val="00FF1454"/>
    <w:rsid w:val="00FF1784"/>
    <w:rsid w:val="00FF1BE5"/>
    <w:rsid w:val="00FF1F3A"/>
    <w:rsid w:val="00FF45DC"/>
    <w:rsid w:val="00FF514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3169" style="mso-width-relative:margin;mso-height-relative:margin" fillcolor="white" strokecolor="silver">
      <v:fill color="white"/>
      <v:stroke color="silver"/>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94808"/>
    <w:pPr>
      <w:widowControl w:val="0"/>
    </w:pPr>
    <w:rPr>
      <w:rFonts w:ascii="Arial" w:hAnsi="Arial"/>
      <w:lang w:eastAsia="fr-FR"/>
    </w:rPr>
  </w:style>
  <w:style w:type="paragraph" w:styleId="Titre1">
    <w:name w:val="heading 1"/>
    <w:basedOn w:val="Normal"/>
    <w:next w:val="Normal"/>
    <w:link w:val="Titre1Car"/>
    <w:qFormat/>
    <w:rsid w:val="00627EEA"/>
    <w:pPr>
      <w:keepNext/>
      <w:spacing w:before="240" w:after="360"/>
      <w:outlineLvl w:val="0"/>
    </w:pPr>
    <w:rPr>
      <w:b/>
      <w:color w:val="215A99"/>
      <w:kern w:val="28"/>
      <w:sz w:val="28"/>
    </w:rPr>
  </w:style>
  <w:style w:type="paragraph" w:styleId="Titre2">
    <w:name w:val="heading 2"/>
    <w:basedOn w:val="Normal"/>
    <w:next w:val="Normal"/>
    <w:link w:val="Titre2Car"/>
    <w:qFormat/>
    <w:rsid w:val="00C401C6"/>
    <w:pPr>
      <w:keepNext/>
      <w:spacing w:before="240" w:after="60"/>
      <w:outlineLvl w:val="1"/>
    </w:pPr>
    <w:rPr>
      <w:b/>
      <w:color w:val="215A99"/>
      <w:sz w:val="18"/>
    </w:rPr>
  </w:style>
  <w:style w:type="paragraph" w:styleId="Titre3">
    <w:name w:val="heading 3"/>
    <w:basedOn w:val="Normal"/>
    <w:next w:val="Normal"/>
    <w:qFormat/>
    <w:rsid w:val="00215458"/>
    <w:pPr>
      <w:keepNext/>
      <w:spacing w:before="240" w:after="60"/>
      <w:outlineLvl w:val="2"/>
    </w:pPr>
    <w:rPr>
      <w:b/>
      <w:sz w:val="24"/>
    </w:rPr>
  </w:style>
  <w:style w:type="paragraph" w:styleId="Titre4">
    <w:name w:val="heading 4"/>
    <w:basedOn w:val="Normal"/>
    <w:next w:val="Normal"/>
    <w:qFormat/>
    <w:rsid w:val="00215458"/>
    <w:pPr>
      <w:keepNext/>
      <w:keepLines/>
      <w:numPr>
        <w:numId w:val="1"/>
      </w:numPr>
      <w:spacing w:after="240" w:line="240" w:lineRule="atLeast"/>
      <w:outlineLvl w:val="3"/>
    </w:pPr>
    <w:rPr>
      <w:rFonts w:ascii="IQE Hlv" w:hAnsi="IQE Hlv"/>
      <w:b/>
      <w:spacing w:val="-4"/>
      <w:kern w:val="28"/>
    </w:rPr>
  </w:style>
  <w:style w:type="paragraph" w:styleId="Titre5">
    <w:name w:val="heading 5"/>
    <w:basedOn w:val="Normal"/>
    <w:next w:val="Normal"/>
    <w:qFormat/>
    <w:rsid w:val="00215458"/>
    <w:pPr>
      <w:keepNext/>
      <w:widowControl/>
      <w:tabs>
        <w:tab w:val="center" w:pos="4860"/>
        <w:tab w:val="right" w:pos="9900"/>
      </w:tabs>
      <w:spacing w:before="80"/>
      <w:outlineLvl w:val="4"/>
    </w:pPr>
    <w:rPr>
      <w:b/>
      <w:color w:val="000080"/>
      <w:sz w:val="12"/>
    </w:rPr>
  </w:style>
  <w:style w:type="paragraph" w:styleId="Titre6">
    <w:name w:val="heading 6"/>
    <w:basedOn w:val="Normal"/>
    <w:next w:val="Normal"/>
    <w:qFormat/>
    <w:rsid w:val="00215458"/>
    <w:pPr>
      <w:keepNext/>
      <w:spacing w:before="60"/>
      <w:jc w:val="right"/>
      <w:outlineLvl w:val="5"/>
    </w:pPr>
    <w:rPr>
      <w:color w:val="008080"/>
      <w:sz w:val="32"/>
    </w:rPr>
  </w:style>
  <w:style w:type="paragraph" w:styleId="Titre7">
    <w:name w:val="heading 7"/>
    <w:basedOn w:val="Normal"/>
    <w:next w:val="Normal"/>
    <w:qFormat/>
    <w:rsid w:val="00215458"/>
    <w:pPr>
      <w:keepNext/>
      <w:widowControl/>
      <w:spacing w:before="120"/>
      <w:jc w:val="right"/>
      <w:outlineLvl w:val="6"/>
    </w:pPr>
    <w:rPr>
      <w:rFonts w:ascii="Trebuchet MS" w:hAnsi="Trebuchet MS"/>
      <w:sz w:val="24"/>
    </w:rPr>
  </w:style>
  <w:style w:type="paragraph" w:styleId="Titre8">
    <w:name w:val="heading 8"/>
    <w:basedOn w:val="Normal"/>
    <w:next w:val="Normal"/>
    <w:qFormat/>
    <w:rsid w:val="00215458"/>
    <w:pPr>
      <w:keepNext/>
      <w:widowControl/>
      <w:spacing w:before="120"/>
      <w:jc w:val="right"/>
      <w:outlineLvl w:val="7"/>
    </w:pPr>
    <w:rPr>
      <w:rFonts w:ascii="Trebuchet MS" w:hAnsi="Trebuchet MS"/>
      <w:b/>
      <w:sz w:val="52"/>
    </w:rPr>
  </w:style>
  <w:style w:type="paragraph" w:styleId="Titre9">
    <w:name w:val="heading 9"/>
    <w:basedOn w:val="Normal"/>
    <w:next w:val="Normal"/>
    <w:qFormat/>
    <w:rsid w:val="00215458"/>
    <w:pPr>
      <w:keepNext/>
      <w:widowControl/>
      <w:spacing w:before="120"/>
      <w:jc w:val="right"/>
      <w:outlineLvl w:val="8"/>
    </w:pPr>
    <w:rPr>
      <w:rFonts w:ascii="Tahoma" w:hAnsi="Tahoma"/>
      <w:color w:val="000080"/>
      <w:sz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FCbullets204">
    <w:name w:val="PFC: bullets 2 04"/>
    <w:basedOn w:val="Normal"/>
    <w:rsid w:val="00215458"/>
    <w:pPr>
      <w:numPr>
        <w:numId w:val="2"/>
      </w:numPr>
      <w:tabs>
        <w:tab w:val="left" w:pos="1397"/>
      </w:tabs>
      <w:spacing w:before="20" w:line="240" w:lineRule="exact"/>
      <w:ind w:left="1411" w:hanging="547"/>
      <w:jc w:val="both"/>
    </w:pPr>
  </w:style>
  <w:style w:type="paragraph" w:customStyle="1" w:styleId="PFCCopyrightLine">
    <w:name w:val="PFC: Copyright Line"/>
    <w:basedOn w:val="Normal"/>
    <w:rsid w:val="00215458"/>
    <w:pPr>
      <w:widowControl/>
      <w:tabs>
        <w:tab w:val="right" w:pos="9792"/>
      </w:tabs>
      <w:spacing w:line="180" w:lineRule="exact"/>
      <w:ind w:left="1109"/>
      <w:jc w:val="right"/>
    </w:pPr>
    <w:rPr>
      <w:b/>
      <w:color w:val="857D75"/>
      <w:sz w:val="14"/>
      <w:szCs w:val="14"/>
      <w:lang w:eastAsia="en-US"/>
    </w:rPr>
  </w:style>
  <w:style w:type="paragraph" w:customStyle="1" w:styleId="PFCServiceName">
    <w:name w:val="PFC: Service Name"/>
    <w:basedOn w:val="Normal"/>
    <w:next w:val="Normal"/>
    <w:rsid w:val="00215458"/>
    <w:pPr>
      <w:widowControl/>
      <w:tabs>
        <w:tab w:val="right" w:pos="8230"/>
      </w:tabs>
      <w:spacing w:line="288" w:lineRule="auto"/>
      <w:ind w:left="20"/>
      <w:jc w:val="both"/>
    </w:pPr>
    <w:rPr>
      <w:rFonts w:cs="Arial"/>
      <w:b/>
      <w:bCs/>
      <w:iCs/>
      <w:noProof/>
      <w:color w:val="857D75"/>
      <w:kern w:val="32"/>
      <w:lang w:eastAsia="en-US"/>
    </w:rPr>
  </w:style>
  <w:style w:type="paragraph" w:customStyle="1" w:styleId="PFCDocTitle">
    <w:name w:val="PFC: Doc Title"/>
    <w:basedOn w:val="PFCServiceName"/>
    <w:next w:val="Normal"/>
    <w:rsid w:val="00215458"/>
    <w:pPr>
      <w:spacing w:before="1440"/>
      <w:ind w:left="2074"/>
    </w:pPr>
    <w:rPr>
      <w:b w:val="0"/>
      <w:noProof w:val="0"/>
      <w:color w:val="0044AA"/>
      <w:kern w:val="0"/>
      <w:sz w:val="72"/>
      <w:szCs w:val="72"/>
    </w:rPr>
  </w:style>
  <w:style w:type="paragraph" w:customStyle="1" w:styleId="PFCDocSubtitle">
    <w:name w:val="PFC: Doc Subtitle"/>
    <w:basedOn w:val="PFCDocTitle"/>
    <w:next w:val="Normal"/>
    <w:rsid w:val="00215458"/>
    <w:pPr>
      <w:spacing w:before="120"/>
      <w:ind w:right="1224"/>
    </w:pPr>
    <w:rPr>
      <w:sz w:val="36"/>
      <w:szCs w:val="36"/>
    </w:rPr>
  </w:style>
  <w:style w:type="paragraph" w:customStyle="1" w:styleId="PFCDocTypeDate">
    <w:name w:val="PFC: Doc Type | Date"/>
    <w:basedOn w:val="Normal"/>
    <w:rsid w:val="00215458"/>
    <w:pPr>
      <w:widowControl/>
      <w:tabs>
        <w:tab w:val="right" w:pos="9720"/>
      </w:tabs>
      <w:spacing w:before="20" w:line="288" w:lineRule="auto"/>
      <w:ind w:right="360"/>
      <w:jc w:val="both"/>
    </w:pPr>
    <w:rPr>
      <w:noProof/>
      <w:color w:val="857D75"/>
      <w:spacing w:val="2"/>
      <w:sz w:val="18"/>
      <w:lang w:eastAsia="en-US"/>
    </w:rPr>
  </w:style>
  <w:style w:type="paragraph" w:customStyle="1" w:styleId="PFCHeading104">
    <w:name w:val="PFC: Heading 1 04"/>
    <w:basedOn w:val="Normal"/>
    <w:next w:val="Normal"/>
    <w:rsid w:val="00215458"/>
    <w:pPr>
      <w:pageBreakBefore/>
      <w:widowControl/>
      <w:spacing w:after="120" w:line="288" w:lineRule="auto"/>
      <w:jc w:val="both"/>
      <w:outlineLvl w:val="0"/>
    </w:pPr>
    <w:rPr>
      <w:b/>
      <w:color w:val="0044AA"/>
      <w:sz w:val="40"/>
      <w:szCs w:val="56"/>
      <w:lang w:eastAsia="en-US"/>
    </w:rPr>
  </w:style>
  <w:style w:type="paragraph" w:customStyle="1" w:styleId="PFCHeading204">
    <w:name w:val="PFC: Heading 2 04"/>
    <w:basedOn w:val="Normal"/>
    <w:next w:val="Normal"/>
    <w:rsid w:val="00215458"/>
    <w:pPr>
      <w:keepNext/>
      <w:keepLines/>
      <w:spacing w:before="240" w:after="120" w:line="240" w:lineRule="exact"/>
      <w:jc w:val="both"/>
    </w:pPr>
    <w:rPr>
      <w:b/>
      <w:bCs/>
      <w:iCs/>
      <w:color w:val="0044AA"/>
      <w:sz w:val="24"/>
    </w:rPr>
  </w:style>
  <w:style w:type="paragraph" w:customStyle="1" w:styleId="PFCHeading3">
    <w:name w:val="PFC: Heading 3"/>
    <w:basedOn w:val="PFCHeading204"/>
    <w:next w:val="Normal"/>
    <w:rsid w:val="00215458"/>
    <w:pPr>
      <w:ind w:left="576"/>
      <w:jc w:val="left"/>
    </w:pPr>
  </w:style>
  <w:style w:type="paragraph" w:customStyle="1" w:styleId="PFCHeading4BGrey">
    <w:name w:val="PFC: Heading 4B Grey"/>
    <w:basedOn w:val="Normal"/>
    <w:next w:val="Normal"/>
    <w:rsid w:val="00215458"/>
    <w:pPr>
      <w:keepNext/>
      <w:keepLines/>
      <w:widowControl/>
      <w:tabs>
        <w:tab w:val="left" w:pos="864"/>
      </w:tabs>
      <w:spacing w:after="120" w:line="240" w:lineRule="exact"/>
      <w:ind w:left="1109"/>
      <w:jc w:val="both"/>
    </w:pPr>
    <w:rPr>
      <w:b/>
      <w:bCs/>
      <w:iCs/>
      <w:color w:val="857D75"/>
    </w:rPr>
  </w:style>
  <w:style w:type="character" w:styleId="Appelnotedebasdep">
    <w:name w:val="footnote reference"/>
    <w:basedOn w:val="Policepardfaut"/>
    <w:semiHidden/>
    <w:rsid w:val="00215458"/>
    <w:rPr>
      <w:vertAlign w:val="superscript"/>
    </w:rPr>
  </w:style>
  <w:style w:type="paragraph" w:styleId="TM1">
    <w:name w:val="toc 1"/>
    <w:aliases w:val="PFC"/>
    <w:basedOn w:val="Normal"/>
    <w:next w:val="Normal"/>
    <w:uiPriority w:val="39"/>
    <w:rsid w:val="00215458"/>
    <w:pPr>
      <w:spacing w:before="120" w:after="120"/>
    </w:pPr>
    <w:rPr>
      <w:rFonts w:ascii="Calibri" w:hAnsi="Calibri"/>
      <w:b/>
      <w:bCs/>
      <w:caps/>
    </w:rPr>
  </w:style>
  <w:style w:type="paragraph" w:styleId="TM2">
    <w:name w:val="toc 2"/>
    <w:basedOn w:val="Normal"/>
    <w:next w:val="Normal"/>
    <w:autoRedefine/>
    <w:uiPriority w:val="39"/>
    <w:rsid w:val="00215458"/>
    <w:pPr>
      <w:ind w:left="200"/>
    </w:pPr>
    <w:rPr>
      <w:rFonts w:ascii="Calibri" w:hAnsi="Calibri"/>
      <w:smallCaps/>
    </w:rPr>
  </w:style>
  <w:style w:type="paragraph" w:styleId="TM3">
    <w:name w:val="toc 3"/>
    <w:basedOn w:val="Normal"/>
    <w:next w:val="Normal"/>
    <w:autoRedefine/>
    <w:semiHidden/>
    <w:rsid w:val="00215458"/>
    <w:pPr>
      <w:ind w:left="400"/>
    </w:pPr>
    <w:rPr>
      <w:rFonts w:ascii="Calibri" w:hAnsi="Calibri"/>
      <w:i/>
      <w:iCs/>
    </w:rPr>
  </w:style>
  <w:style w:type="paragraph" w:styleId="TM4">
    <w:name w:val="toc 4"/>
    <w:basedOn w:val="Normal"/>
    <w:next w:val="Normal"/>
    <w:autoRedefine/>
    <w:semiHidden/>
    <w:rsid w:val="00215458"/>
    <w:pPr>
      <w:ind w:left="600"/>
    </w:pPr>
    <w:rPr>
      <w:rFonts w:ascii="Calibri" w:hAnsi="Calibri"/>
      <w:sz w:val="18"/>
      <w:szCs w:val="18"/>
    </w:rPr>
  </w:style>
  <w:style w:type="paragraph" w:styleId="TM5">
    <w:name w:val="toc 5"/>
    <w:basedOn w:val="Normal"/>
    <w:next w:val="Normal"/>
    <w:autoRedefine/>
    <w:semiHidden/>
    <w:rsid w:val="00215458"/>
    <w:pPr>
      <w:ind w:left="800"/>
    </w:pPr>
    <w:rPr>
      <w:rFonts w:ascii="Calibri" w:hAnsi="Calibri"/>
      <w:sz w:val="18"/>
      <w:szCs w:val="18"/>
    </w:rPr>
  </w:style>
  <w:style w:type="paragraph" w:styleId="TM6">
    <w:name w:val="toc 6"/>
    <w:basedOn w:val="Normal"/>
    <w:next w:val="Normal"/>
    <w:autoRedefine/>
    <w:semiHidden/>
    <w:rsid w:val="00215458"/>
    <w:pPr>
      <w:ind w:left="1000"/>
    </w:pPr>
    <w:rPr>
      <w:rFonts w:ascii="Calibri" w:hAnsi="Calibri"/>
      <w:sz w:val="18"/>
      <w:szCs w:val="18"/>
    </w:rPr>
  </w:style>
  <w:style w:type="paragraph" w:styleId="TM7">
    <w:name w:val="toc 7"/>
    <w:basedOn w:val="Normal"/>
    <w:next w:val="Normal"/>
    <w:autoRedefine/>
    <w:semiHidden/>
    <w:rsid w:val="00215458"/>
    <w:pPr>
      <w:ind w:left="1200"/>
    </w:pPr>
    <w:rPr>
      <w:rFonts w:ascii="Calibri" w:hAnsi="Calibri"/>
      <w:sz w:val="18"/>
      <w:szCs w:val="18"/>
    </w:rPr>
  </w:style>
  <w:style w:type="paragraph" w:styleId="TM8">
    <w:name w:val="toc 8"/>
    <w:basedOn w:val="Normal"/>
    <w:next w:val="Normal"/>
    <w:autoRedefine/>
    <w:semiHidden/>
    <w:rsid w:val="00215458"/>
    <w:pPr>
      <w:ind w:left="1400"/>
    </w:pPr>
    <w:rPr>
      <w:rFonts w:ascii="Calibri" w:hAnsi="Calibri"/>
      <w:sz w:val="18"/>
      <w:szCs w:val="18"/>
    </w:rPr>
  </w:style>
  <w:style w:type="paragraph" w:styleId="TM9">
    <w:name w:val="toc 9"/>
    <w:basedOn w:val="Normal"/>
    <w:next w:val="Normal"/>
    <w:autoRedefine/>
    <w:semiHidden/>
    <w:rsid w:val="00215458"/>
    <w:pPr>
      <w:ind w:left="1600"/>
    </w:pPr>
    <w:rPr>
      <w:rFonts w:ascii="Calibri" w:hAnsi="Calibri"/>
      <w:sz w:val="18"/>
      <w:szCs w:val="18"/>
    </w:rPr>
  </w:style>
  <w:style w:type="paragraph" w:styleId="Notedebasdepage">
    <w:name w:val="footnote text"/>
    <w:basedOn w:val="Normal"/>
    <w:semiHidden/>
    <w:rsid w:val="00215458"/>
    <w:pPr>
      <w:widowControl/>
      <w:spacing w:after="120"/>
    </w:pPr>
    <w:rPr>
      <w:i/>
      <w:sz w:val="16"/>
    </w:rPr>
  </w:style>
  <w:style w:type="character" w:styleId="Lienhypertexte">
    <w:name w:val="Hyperlink"/>
    <w:basedOn w:val="Policepardfaut"/>
    <w:uiPriority w:val="99"/>
    <w:rsid w:val="00215458"/>
    <w:rPr>
      <w:color w:val="0000FF"/>
      <w:u w:val="single"/>
    </w:rPr>
  </w:style>
  <w:style w:type="paragraph" w:customStyle="1" w:styleId="PFCTOCTitle">
    <w:name w:val="PFC: TOC Title"/>
    <w:basedOn w:val="Normal"/>
    <w:next w:val="Normal"/>
    <w:rsid w:val="00215458"/>
    <w:pPr>
      <w:widowControl/>
      <w:tabs>
        <w:tab w:val="right" w:pos="9000"/>
      </w:tabs>
      <w:spacing w:before="240" w:after="240"/>
      <w:ind w:left="2074"/>
    </w:pPr>
    <w:rPr>
      <w:b/>
      <w:color w:val="0044AA"/>
      <w:sz w:val="24"/>
      <w:szCs w:val="24"/>
      <w:lang w:eastAsia="en-US"/>
    </w:rPr>
  </w:style>
  <w:style w:type="paragraph" w:customStyle="1" w:styleId="PFCbullets04">
    <w:name w:val="PFC: bullets 04"/>
    <w:basedOn w:val="PFCBodyText04"/>
    <w:rsid w:val="00215458"/>
    <w:pPr>
      <w:numPr>
        <w:numId w:val="3"/>
      </w:numPr>
      <w:tabs>
        <w:tab w:val="clear" w:pos="2340"/>
        <w:tab w:val="left" w:pos="900"/>
      </w:tabs>
      <w:spacing w:before="20" w:line="240" w:lineRule="exact"/>
      <w:ind w:left="900" w:hanging="333"/>
    </w:pPr>
    <w:rPr>
      <w:szCs w:val="20"/>
    </w:rPr>
  </w:style>
  <w:style w:type="paragraph" w:customStyle="1" w:styleId="PFCBodyText04">
    <w:name w:val="PFC:  Body Text 04"/>
    <w:basedOn w:val="Normal"/>
    <w:rsid w:val="00215458"/>
    <w:pPr>
      <w:widowControl/>
      <w:spacing w:before="120" w:after="120" w:line="264" w:lineRule="auto"/>
      <w:ind w:left="567"/>
      <w:jc w:val="both"/>
    </w:pPr>
    <w:rPr>
      <w:noProof/>
      <w:color w:val="000000"/>
      <w:szCs w:val="24"/>
      <w:lang w:eastAsia="en-US"/>
    </w:rPr>
  </w:style>
  <w:style w:type="paragraph" w:customStyle="1" w:styleId="PFCExecutiveSummary">
    <w:name w:val="PFC: Executive Summary"/>
    <w:basedOn w:val="Normal"/>
    <w:autoRedefine/>
    <w:rsid w:val="00215458"/>
    <w:pPr>
      <w:widowControl/>
      <w:spacing w:line="264" w:lineRule="auto"/>
      <w:jc w:val="both"/>
    </w:pPr>
    <w:rPr>
      <w:b/>
      <w:bCs/>
      <w:lang w:eastAsia="en-US"/>
    </w:rPr>
  </w:style>
  <w:style w:type="paragraph" w:styleId="En-tte">
    <w:name w:val="header"/>
    <w:basedOn w:val="Normal"/>
    <w:link w:val="En-tteCar"/>
    <w:uiPriority w:val="99"/>
    <w:rsid w:val="00215458"/>
    <w:pPr>
      <w:tabs>
        <w:tab w:val="center" w:pos="4320"/>
        <w:tab w:val="right" w:pos="8640"/>
      </w:tabs>
    </w:pPr>
  </w:style>
  <w:style w:type="paragraph" w:styleId="Pieddepage">
    <w:name w:val="footer"/>
    <w:basedOn w:val="Normal"/>
    <w:rsid w:val="00215458"/>
    <w:pPr>
      <w:tabs>
        <w:tab w:val="center" w:pos="4320"/>
        <w:tab w:val="right" w:pos="8640"/>
      </w:tabs>
    </w:pPr>
  </w:style>
  <w:style w:type="character" w:styleId="Numrodepage">
    <w:name w:val="page number"/>
    <w:basedOn w:val="Policepardfaut"/>
    <w:rsid w:val="00215458"/>
  </w:style>
  <w:style w:type="paragraph" w:customStyle="1" w:styleId="PFCCopyrightLine0">
    <w:name w:val="PFC:  Copyright Line"/>
    <w:basedOn w:val="Normal"/>
    <w:autoRedefine/>
    <w:rsid w:val="00215458"/>
    <w:pPr>
      <w:widowControl/>
      <w:tabs>
        <w:tab w:val="center" w:pos="4320"/>
        <w:tab w:val="right" w:pos="8640"/>
      </w:tabs>
      <w:spacing w:line="180" w:lineRule="exact"/>
      <w:jc w:val="right"/>
    </w:pPr>
    <w:rPr>
      <w:b/>
      <w:color w:val="999988"/>
      <w:sz w:val="14"/>
      <w:szCs w:val="14"/>
      <w:lang w:eastAsia="en-US"/>
    </w:rPr>
  </w:style>
  <w:style w:type="paragraph" w:customStyle="1" w:styleId="PFCOfficeLocations">
    <w:name w:val="PFC: Office Locations"/>
    <w:basedOn w:val="Normal"/>
    <w:semiHidden/>
    <w:rsid w:val="00433E74"/>
    <w:pPr>
      <w:widowControl/>
      <w:spacing w:line="288" w:lineRule="auto"/>
      <w:jc w:val="both"/>
    </w:pPr>
    <w:rPr>
      <w:sz w:val="14"/>
      <w:szCs w:val="14"/>
      <w:lang w:val="en-GB"/>
    </w:rPr>
  </w:style>
  <w:style w:type="paragraph" w:styleId="Textedebulles">
    <w:name w:val="Balloon Text"/>
    <w:basedOn w:val="Normal"/>
    <w:link w:val="TextedebullesCar"/>
    <w:rsid w:val="005A47E6"/>
    <w:rPr>
      <w:rFonts w:ascii="Tahoma" w:hAnsi="Tahoma" w:cs="Tahoma"/>
      <w:sz w:val="16"/>
      <w:szCs w:val="16"/>
    </w:rPr>
  </w:style>
  <w:style w:type="character" w:customStyle="1" w:styleId="TextedebullesCar">
    <w:name w:val="Texte de bulles Car"/>
    <w:basedOn w:val="Policepardfaut"/>
    <w:link w:val="Textedebulles"/>
    <w:rsid w:val="005A47E6"/>
    <w:rPr>
      <w:rFonts w:ascii="Tahoma" w:hAnsi="Tahoma" w:cs="Tahoma"/>
      <w:sz w:val="16"/>
      <w:szCs w:val="16"/>
      <w:lang w:eastAsia="fr-FR"/>
    </w:rPr>
  </w:style>
  <w:style w:type="paragraph" w:styleId="Textebrut">
    <w:name w:val="Plain Text"/>
    <w:basedOn w:val="Normal"/>
    <w:link w:val="TextebrutCar"/>
    <w:uiPriority w:val="99"/>
    <w:unhideWhenUsed/>
    <w:rsid w:val="009777E0"/>
    <w:pPr>
      <w:widowControl/>
    </w:pPr>
    <w:rPr>
      <w:rFonts w:ascii="Consolas" w:eastAsia="Calibri" w:hAnsi="Consolas"/>
      <w:sz w:val="21"/>
      <w:szCs w:val="21"/>
      <w:lang w:eastAsia="en-US"/>
    </w:rPr>
  </w:style>
  <w:style w:type="character" w:customStyle="1" w:styleId="TextebrutCar">
    <w:name w:val="Texte brut Car"/>
    <w:basedOn w:val="Policepardfaut"/>
    <w:link w:val="Textebrut"/>
    <w:uiPriority w:val="99"/>
    <w:rsid w:val="009777E0"/>
    <w:rPr>
      <w:rFonts w:ascii="Consolas" w:eastAsia="Calibri" w:hAnsi="Consolas" w:cs="Times New Roman"/>
      <w:sz w:val="21"/>
      <w:szCs w:val="21"/>
    </w:rPr>
  </w:style>
  <w:style w:type="character" w:styleId="Marquedecommentaire">
    <w:name w:val="annotation reference"/>
    <w:basedOn w:val="Policepardfaut"/>
    <w:semiHidden/>
    <w:rsid w:val="006F357E"/>
    <w:rPr>
      <w:sz w:val="16"/>
      <w:szCs w:val="16"/>
    </w:rPr>
  </w:style>
  <w:style w:type="paragraph" w:styleId="Commentaire">
    <w:name w:val="annotation text"/>
    <w:basedOn w:val="Normal"/>
    <w:semiHidden/>
    <w:rsid w:val="006F357E"/>
  </w:style>
  <w:style w:type="paragraph" w:styleId="Objetducommentaire">
    <w:name w:val="annotation subject"/>
    <w:basedOn w:val="Commentaire"/>
    <w:next w:val="Commentaire"/>
    <w:semiHidden/>
    <w:rsid w:val="006F357E"/>
    <w:rPr>
      <w:b/>
      <w:bCs/>
    </w:rPr>
  </w:style>
  <w:style w:type="paragraph" w:customStyle="1" w:styleId="PFCBulletedText2">
    <w:name w:val="PFC: Bulleted Text 2"/>
    <w:basedOn w:val="Normal"/>
    <w:link w:val="PFCBulletedText2Char"/>
    <w:uiPriority w:val="99"/>
    <w:rsid w:val="00675618"/>
    <w:pPr>
      <w:tabs>
        <w:tab w:val="left" w:pos="1400"/>
      </w:tabs>
      <w:spacing w:before="60" w:after="60" w:line="264" w:lineRule="auto"/>
      <w:ind w:left="1689" w:hanging="289"/>
      <w:jc w:val="both"/>
    </w:pPr>
    <w:rPr>
      <w:rFonts w:eastAsia="Arial Unicode MS"/>
    </w:rPr>
  </w:style>
  <w:style w:type="character" w:customStyle="1" w:styleId="PFCBulletedText2Char">
    <w:name w:val="PFC: Bulleted Text 2 Char"/>
    <w:basedOn w:val="Policepardfaut"/>
    <w:link w:val="PFCBulletedText2"/>
    <w:uiPriority w:val="99"/>
    <w:rsid w:val="00675618"/>
    <w:rPr>
      <w:rFonts w:ascii="Arial" w:eastAsia="Arial Unicode MS" w:hAnsi="Arial"/>
      <w:lang w:val="en-US" w:eastAsia="fr-FR" w:bidi="ar-SA"/>
    </w:rPr>
  </w:style>
  <w:style w:type="paragraph" w:styleId="NormalWeb">
    <w:name w:val="Normal (Web)"/>
    <w:basedOn w:val="Normal"/>
    <w:uiPriority w:val="99"/>
    <w:rsid w:val="00721AF4"/>
    <w:pPr>
      <w:widowControl/>
      <w:spacing w:before="75" w:after="150"/>
    </w:pPr>
    <w:rPr>
      <w:rFonts w:ascii="Times New Roman" w:eastAsia="Calibri" w:hAnsi="Times New Roman"/>
      <w:sz w:val="24"/>
      <w:szCs w:val="24"/>
      <w:lang w:eastAsia="ko-KR"/>
    </w:rPr>
  </w:style>
  <w:style w:type="table" w:styleId="Grilledutableau">
    <w:name w:val="Table Grid"/>
    <w:basedOn w:val="TableauNormal"/>
    <w:rsid w:val="0028493B"/>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Normal"/>
    <w:rsid w:val="008629F3"/>
    <w:pPr>
      <w:widowControl/>
      <w:ind w:left="720"/>
    </w:pPr>
    <w:rPr>
      <w:rFonts w:ascii="Calibri" w:eastAsia="Calibri" w:hAnsi="Calibri"/>
      <w:sz w:val="22"/>
      <w:szCs w:val="22"/>
      <w:lang w:eastAsia="ko-KR"/>
    </w:rPr>
  </w:style>
  <w:style w:type="paragraph" w:styleId="Paragraphedeliste">
    <w:name w:val="List Paragraph"/>
    <w:basedOn w:val="Normal"/>
    <w:uiPriority w:val="34"/>
    <w:qFormat/>
    <w:rsid w:val="005D4424"/>
    <w:pPr>
      <w:ind w:left="720"/>
    </w:pPr>
  </w:style>
  <w:style w:type="paragraph" w:customStyle="1" w:styleId="PFCBodyTextNoIndent">
    <w:name w:val="PFC: Body Text No Indent"/>
    <w:basedOn w:val="Normal"/>
    <w:link w:val="PFCBodyTextNoIndentChar1"/>
    <w:rsid w:val="00E06BCF"/>
    <w:pPr>
      <w:spacing w:line="288" w:lineRule="auto"/>
      <w:jc w:val="both"/>
    </w:pPr>
  </w:style>
  <w:style w:type="character" w:customStyle="1" w:styleId="PFCBodyTextNoIndentChar1">
    <w:name w:val="PFC: Body Text No Indent Char1"/>
    <w:basedOn w:val="Policepardfaut"/>
    <w:link w:val="PFCBodyTextNoIndent"/>
    <w:rsid w:val="00E06BCF"/>
    <w:rPr>
      <w:rFonts w:ascii="Arial" w:hAnsi="Arial"/>
      <w:lang w:eastAsia="fr-FR"/>
    </w:rPr>
  </w:style>
  <w:style w:type="paragraph" w:styleId="Rvision">
    <w:name w:val="Revision"/>
    <w:hidden/>
    <w:uiPriority w:val="99"/>
    <w:semiHidden/>
    <w:rsid w:val="008A3C9F"/>
    <w:rPr>
      <w:rFonts w:ascii="Arial" w:hAnsi="Arial"/>
      <w:lang w:eastAsia="fr-FR"/>
    </w:rPr>
  </w:style>
  <w:style w:type="paragraph" w:styleId="Notedefin">
    <w:name w:val="endnote text"/>
    <w:basedOn w:val="Normal"/>
    <w:link w:val="NotedefinCar"/>
    <w:rsid w:val="003217A1"/>
  </w:style>
  <w:style w:type="character" w:customStyle="1" w:styleId="NotedefinCar">
    <w:name w:val="Note de fin Car"/>
    <w:basedOn w:val="Policepardfaut"/>
    <w:link w:val="Notedefin"/>
    <w:rsid w:val="003217A1"/>
    <w:rPr>
      <w:rFonts w:ascii="Arial" w:hAnsi="Arial"/>
      <w:lang w:eastAsia="fr-FR"/>
    </w:rPr>
  </w:style>
  <w:style w:type="character" w:styleId="Appeldenotedefin">
    <w:name w:val="endnote reference"/>
    <w:basedOn w:val="Policepardfaut"/>
    <w:rsid w:val="003217A1"/>
    <w:rPr>
      <w:vertAlign w:val="superscript"/>
    </w:rPr>
  </w:style>
  <w:style w:type="character" w:styleId="Accentuation">
    <w:name w:val="Emphasis"/>
    <w:basedOn w:val="Policepardfaut"/>
    <w:qFormat/>
    <w:rsid w:val="006E33A3"/>
    <w:rPr>
      <w:i/>
      <w:iCs/>
    </w:rPr>
  </w:style>
  <w:style w:type="character" w:customStyle="1" w:styleId="Titre1Car">
    <w:name w:val="Titre 1 Car"/>
    <w:basedOn w:val="Policepardfaut"/>
    <w:link w:val="Titre1"/>
    <w:rsid w:val="00627EEA"/>
    <w:rPr>
      <w:rFonts w:ascii="Arial" w:hAnsi="Arial"/>
      <w:b/>
      <w:color w:val="215A99"/>
      <w:kern w:val="28"/>
      <w:sz w:val="28"/>
      <w:lang w:eastAsia="fr-FR"/>
    </w:rPr>
  </w:style>
  <w:style w:type="character" w:customStyle="1" w:styleId="Titre2Car">
    <w:name w:val="Titre 2 Car"/>
    <w:basedOn w:val="Policepardfaut"/>
    <w:link w:val="Titre2"/>
    <w:rsid w:val="00C401C6"/>
    <w:rPr>
      <w:rFonts w:ascii="Arial" w:hAnsi="Arial"/>
      <w:b/>
      <w:color w:val="215A99"/>
      <w:sz w:val="18"/>
      <w:lang w:eastAsia="fr-FR"/>
    </w:rPr>
  </w:style>
  <w:style w:type="paragraph" w:styleId="Lgende">
    <w:name w:val="caption"/>
    <w:basedOn w:val="Normal"/>
    <w:next w:val="Normal"/>
    <w:qFormat/>
    <w:rsid w:val="00C01FE2"/>
    <w:rPr>
      <w:rFonts w:eastAsia="Times New Roman"/>
      <w:b/>
      <w:bCs/>
    </w:rPr>
  </w:style>
  <w:style w:type="paragraph" w:customStyle="1" w:styleId="Default">
    <w:name w:val="Default"/>
    <w:rsid w:val="00A151EE"/>
    <w:pPr>
      <w:autoSpaceDE w:val="0"/>
      <w:autoSpaceDN w:val="0"/>
      <w:adjustRightInd w:val="0"/>
    </w:pPr>
    <w:rPr>
      <w:rFonts w:ascii="Arial" w:hAnsi="Arial" w:cs="Arial"/>
      <w:color w:val="000000"/>
      <w:sz w:val="24"/>
      <w:szCs w:val="24"/>
    </w:rPr>
  </w:style>
  <w:style w:type="character" w:styleId="Lienhypertextesuivivisit">
    <w:name w:val="FollowedHyperlink"/>
    <w:basedOn w:val="Policepardfaut"/>
    <w:rsid w:val="003F7F88"/>
    <w:rPr>
      <w:color w:val="800080"/>
      <w:u w:val="single"/>
    </w:rPr>
  </w:style>
  <w:style w:type="paragraph" w:customStyle="1" w:styleId="PFCBodyText">
    <w:name w:val="PFC Body Text"/>
    <w:basedOn w:val="Normal"/>
    <w:link w:val="PFCBodyTextChar"/>
    <w:qFormat/>
    <w:rsid w:val="00D306E3"/>
    <w:pPr>
      <w:spacing w:before="120" w:after="120" w:line="264" w:lineRule="auto"/>
      <w:jc w:val="both"/>
    </w:pPr>
    <w:rPr>
      <w:rFonts w:eastAsia="Times New Roman" w:cs="Arial"/>
    </w:rPr>
  </w:style>
  <w:style w:type="character" w:customStyle="1" w:styleId="PFCBodyTextChar">
    <w:name w:val="PFC Body Text Char"/>
    <w:basedOn w:val="Policepardfaut"/>
    <w:link w:val="PFCBodyText"/>
    <w:rsid w:val="00D306E3"/>
    <w:rPr>
      <w:rFonts w:ascii="Arial" w:eastAsia="Times New Roman" w:hAnsi="Arial" w:cs="Arial"/>
      <w:lang w:eastAsia="fr-FR"/>
    </w:rPr>
  </w:style>
  <w:style w:type="numbering" w:customStyle="1" w:styleId="PFCBulletedList">
    <w:name w:val="PFC Bulleted List"/>
    <w:uiPriority w:val="99"/>
    <w:rsid w:val="00D306E3"/>
    <w:pPr>
      <w:numPr>
        <w:numId w:val="32"/>
      </w:numPr>
    </w:pPr>
  </w:style>
  <w:style w:type="table" w:styleId="Listeclaire-Accent5">
    <w:name w:val="Light List Accent 5"/>
    <w:basedOn w:val="TableauNormal"/>
    <w:uiPriority w:val="61"/>
    <w:rsid w:val="00184425"/>
    <w:tblPr>
      <w:tblStyleRowBandSize w:val="1"/>
      <w:tblStyleColBandSize w:val="1"/>
      <w:tblInd w:w="0" w:type="dxa"/>
      <w:tblBorders>
        <w:top w:val="single" w:sz="8" w:space="0" w:color="095C99" w:themeColor="accent5"/>
        <w:left w:val="single" w:sz="8" w:space="0" w:color="095C99" w:themeColor="accent5"/>
        <w:bottom w:val="single" w:sz="8" w:space="0" w:color="095C99" w:themeColor="accent5"/>
        <w:right w:val="single" w:sz="8" w:space="0" w:color="095C99"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95C99" w:themeFill="accent5"/>
      </w:tcPr>
    </w:tblStylePr>
    <w:tblStylePr w:type="lastRow">
      <w:pPr>
        <w:spacing w:before="0" w:after="0" w:line="240" w:lineRule="auto"/>
      </w:pPr>
      <w:rPr>
        <w:b/>
        <w:bCs/>
      </w:rPr>
      <w:tblPr/>
      <w:tcPr>
        <w:tcBorders>
          <w:top w:val="double" w:sz="6" w:space="0" w:color="095C99" w:themeColor="accent5"/>
          <w:left w:val="single" w:sz="8" w:space="0" w:color="095C99" w:themeColor="accent5"/>
          <w:bottom w:val="single" w:sz="8" w:space="0" w:color="095C99" w:themeColor="accent5"/>
          <w:right w:val="single" w:sz="8" w:space="0" w:color="095C99" w:themeColor="accent5"/>
        </w:tcBorders>
      </w:tcPr>
    </w:tblStylePr>
    <w:tblStylePr w:type="firstCol">
      <w:rPr>
        <w:b/>
        <w:bCs/>
      </w:rPr>
    </w:tblStylePr>
    <w:tblStylePr w:type="lastCol">
      <w:rPr>
        <w:b/>
        <w:bCs/>
      </w:rPr>
    </w:tblStylePr>
    <w:tblStylePr w:type="band1Vert">
      <w:tblPr/>
      <w:tcPr>
        <w:tcBorders>
          <w:top w:val="single" w:sz="8" w:space="0" w:color="095C99" w:themeColor="accent5"/>
          <w:left w:val="single" w:sz="8" w:space="0" w:color="095C99" w:themeColor="accent5"/>
          <w:bottom w:val="single" w:sz="8" w:space="0" w:color="095C99" w:themeColor="accent5"/>
          <w:right w:val="single" w:sz="8" w:space="0" w:color="095C99" w:themeColor="accent5"/>
        </w:tcBorders>
      </w:tcPr>
    </w:tblStylePr>
    <w:tblStylePr w:type="band1Horz">
      <w:tblPr/>
      <w:tcPr>
        <w:tcBorders>
          <w:top w:val="single" w:sz="8" w:space="0" w:color="095C99" w:themeColor="accent5"/>
          <w:left w:val="single" w:sz="8" w:space="0" w:color="095C99" w:themeColor="accent5"/>
          <w:bottom w:val="single" w:sz="8" w:space="0" w:color="095C99" w:themeColor="accent5"/>
          <w:right w:val="single" w:sz="8" w:space="0" w:color="095C99" w:themeColor="accent5"/>
        </w:tcBorders>
      </w:tcPr>
    </w:tblStylePr>
  </w:style>
  <w:style w:type="table" w:styleId="Grille8">
    <w:name w:val="Table Grid 8"/>
    <w:basedOn w:val="TableauNormal"/>
    <w:rsid w:val="00F760EA"/>
    <w:pPr>
      <w:widowControl w:val="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MediumShading11">
    <w:name w:val="Medium Shading 11"/>
    <w:basedOn w:val="TableauNormal"/>
    <w:uiPriority w:val="63"/>
    <w:rsid w:val="00F760EA"/>
    <w:tblPr>
      <w:tblStyleRowBandSize w:val="1"/>
      <w:tblStyleColBandSize w:val="1"/>
      <w:tblInd w:w="0" w:type="dxa"/>
      <w:tblBorders>
        <w:top w:val="single" w:sz="8" w:space="0" w:color="504C4C" w:themeColor="text1" w:themeTint="BF"/>
        <w:left w:val="single" w:sz="8" w:space="0" w:color="504C4C" w:themeColor="text1" w:themeTint="BF"/>
        <w:bottom w:val="single" w:sz="8" w:space="0" w:color="504C4C" w:themeColor="text1" w:themeTint="BF"/>
        <w:right w:val="single" w:sz="8" w:space="0" w:color="504C4C" w:themeColor="text1" w:themeTint="BF"/>
        <w:insideH w:val="single" w:sz="8" w:space="0" w:color="504C4C"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504C4C" w:themeColor="text1" w:themeTint="BF"/>
          <w:left w:val="single" w:sz="8" w:space="0" w:color="504C4C" w:themeColor="text1" w:themeTint="BF"/>
          <w:bottom w:val="single" w:sz="8" w:space="0" w:color="504C4C" w:themeColor="text1" w:themeTint="BF"/>
          <w:right w:val="single" w:sz="8" w:space="0" w:color="504C4C" w:themeColor="text1" w:themeTint="BF"/>
          <w:insideH w:val="nil"/>
          <w:insideV w:val="nil"/>
        </w:tcBorders>
        <w:shd w:val="clear" w:color="auto" w:fill="141313" w:themeFill="text1"/>
      </w:tcPr>
    </w:tblStylePr>
    <w:tblStylePr w:type="lastRow">
      <w:pPr>
        <w:spacing w:before="0" w:after="0" w:line="240" w:lineRule="auto"/>
      </w:pPr>
      <w:rPr>
        <w:b/>
        <w:bCs/>
      </w:rPr>
      <w:tblPr/>
      <w:tcPr>
        <w:tcBorders>
          <w:top w:val="double" w:sz="6" w:space="0" w:color="504C4C" w:themeColor="text1" w:themeTint="BF"/>
          <w:left w:val="single" w:sz="8" w:space="0" w:color="504C4C" w:themeColor="text1" w:themeTint="BF"/>
          <w:bottom w:val="single" w:sz="8" w:space="0" w:color="504C4C" w:themeColor="text1" w:themeTint="BF"/>
          <w:right w:val="single" w:sz="8" w:space="0" w:color="504C4C" w:themeColor="text1" w:themeTint="BF"/>
          <w:insideH w:val="nil"/>
          <w:insideV w:val="nil"/>
        </w:tcBorders>
      </w:tcPr>
    </w:tblStylePr>
    <w:tblStylePr w:type="firstCol">
      <w:rPr>
        <w:b/>
        <w:bCs/>
      </w:rPr>
    </w:tblStylePr>
    <w:tblStylePr w:type="lastCol">
      <w:rPr>
        <w:b/>
        <w:bCs/>
      </w:rPr>
    </w:tblStylePr>
    <w:tblStylePr w:type="band1Vert">
      <w:tblPr/>
      <w:tcPr>
        <w:shd w:val="clear" w:color="auto" w:fill="C6C3C3" w:themeFill="text1" w:themeFillTint="3F"/>
      </w:tcPr>
    </w:tblStylePr>
    <w:tblStylePr w:type="band1Horz">
      <w:tblPr/>
      <w:tcPr>
        <w:tcBorders>
          <w:insideH w:val="nil"/>
          <w:insideV w:val="nil"/>
        </w:tcBorders>
        <w:shd w:val="clear" w:color="auto" w:fill="C6C3C3" w:themeFill="text1" w:themeFillTint="3F"/>
      </w:tcPr>
    </w:tblStylePr>
    <w:tblStylePr w:type="band2Horz">
      <w:tblPr/>
      <w:tcPr>
        <w:tcBorders>
          <w:insideH w:val="nil"/>
          <w:insideV w:val="nil"/>
        </w:tcBorders>
      </w:tcPr>
    </w:tblStylePr>
  </w:style>
  <w:style w:type="table" w:styleId="Grillemoyenne3-Accent3">
    <w:name w:val="Medium Grid 3 Accent 3"/>
    <w:basedOn w:val="TableauNormal"/>
    <w:uiPriority w:val="69"/>
    <w:rsid w:val="005233F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2E0F7" w:themeFill="accent3" w:themeFillTint="3F"/>
    </w:tcPr>
    <w:tblStylePr w:type="firstRow">
      <w:rPr>
        <w:b/>
        <w:bCs/>
        <w:i w:val="0"/>
        <w:iCs w:val="0"/>
        <w:color w:val="FFFFFF" w:themeColor="background1"/>
      </w:rPr>
      <w:tblPr/>
      <w:tcPr>
        <w:shd w:val="clear" w:color="auto" w:fill="215A99"/>
      </w:tcPr>
    </w:tblStylePr>
    <w:tblStylePr w:type="lastRow">
      <w:rPr>
        <w:b/>
        <w:bCs/>
        <w:i w:val="0"/>
        <w:iCs w:val="0"/>
        <w:color w:val="FFFFFF" w:themeColor="background1"/>
      </w:rPr>
      <w:tblPr/>
      <w:tcPr>
        <w:shd w:val="clear" w:color="auto" w:fill="215A99"/>
      </w:tcPr>
    </w:tblStylePr>
    <w:tblStylePr w:type="firstCol">
      <w:rPr>
        <w:b/>
        <w:bCs/>
        <w:i w:val="0"/>
        <w:iCs w:val="0"/>
        <w:color w:val="FFFFFF" w:themeColor="background1"/>
      </w:rPr>
      <w:tblPr/>
      <w:tcPr>
        <w:shd w:val="clear" w:color="auto" w:fill="215A99"/>
      </w:tcPr>
    </w:tblStylePr>
    <w:tblStylePr w:type="lastCol">
      <w:rPr>
        <w:b/>
        <w:bCs/>
        <w:i w:val="0"/>
        <w:iCs w:val="0"/>
        <w:color w:val="FFFFFF" w:themeColor="background1"/>
      </w:rPr>
      <w:tblPr/>
      <w:tcPr>
        <w:shd w:val="clear" w:color="auto" w:fill="215A99"/>
      </w:tcPr>
    </w:tblStylePr>
    <w:tblStylePr w:type="band1Vert">
      <w:tblPr/>
      <w:tcPr>
        <w:shd w:val="clear" w:color="auto" w:fill="9ADCF4"/>
      </w:tcPr>
    </w:tblStylePr>
    <w:tblStylePr w:type="band2Vert">
      <w:tblPr/>
      <w:tcPr>
        <w:shd w:val="clear" w:color="auto" w:fill="9ADCF4"/>
      </w:tcPr>
    </w:tblStylePr>
    <w:tblStylePr w:type="band1Horz">
      <w:tblPr/>
      <w:tcPr>
        <w:shd w:val="clear" w:color="auto" w:fill="9ADCF4"/>
      </w:tcPr>
    </w:tblStylePr>
    <w:tblStylePr w:type="band2Horz">
      <w:tblPr/>
      <w:tcPr>
        <w:shd w:val="clear" w:color="auto" w:fill="17A8DB"/>
      </w:tcPr>
    </w:tblStylePr>
  </w:style>
  <w:style w:type="paragraph" w:customStyle="1" w:styleId="Style1">
    <w:name w:val="Style1"/>
    <w:basedOn w:val="Titre1"/>
    <w:link w:val="Style1Char"/>
    <w:qFormat/>
    <w:rsid w:val="00627EEA"/>
    <w:pPr>
      <w:spacing w:before="60"/>
    </w:pPr>
    <w:rPr>
      <w:iCs/>
      <w:sz w:val="27"/>
      <w:szCs w:val="27"/>
      <w:lang w:val="en-GB"/>
    </w:rPr>
  </w:style>
  <w:style w:type="paragraph" w:styleId="En-ttedetabledesmatires">
    <w:name w:val="TOC Heading"/>
    <w:basedOn w:val="Titre1"/>
    <w:next w:val="Normal"/>
    <w:uiPriority w:val="39"/>
    <w:semiHidden/>
    <w:unhideWhenUsed/>
    <w:qFormat/>
    <w:rsid w:val="00627EEA"/>
    <w:pPr>
      <w:keepLines/>
      <w:widowControl/>
      <w:spacing w:before="480" w:after="0" w:line="276" w:lineRule="auto"/>
      <w:outlineLvl w:val="9"/>
    </w:pPr>
    <w:rPr>
      <w:rFonts w:asciiTheme="majorHAnsi" w:eastAsiaTheme="majorEastAsia" w:hAnsiTheme="majorHAnsi" w:cstheme="majorBidi"/>
      <w:bCs/>
      <w:color w:val="7A1011" w:themeColor="accent1" w:themeShade="BF"/>
      <w:kern w:val="0"/>
      <w:szCs w:val="28"/>
      <w:lang w:eastAsia="en-US"/>
    </w:rPr>
  </w:style>
  <w:style w:type="character" w:customStyle="1" w:styleId="Style1Char">
    <w:name w:val="Style1 Char"/>
    <w:basedOn w:val="Titre1Car"/>
    <w:link w:val="Style1"/>
    <w:rsid w:val="00627EEA"/>
    <w:rPr>
      <w:iCs/>
      <w:sz w:val="27"/>
      <w:szCs w:val="27"/>
      <w:lang w:val="en-GB"/>
    </w:rPr>
  </w:style>
  <w:style w:type="character" w:customStyle="1" w:styleId="En-tteCar">
    <w:name w:val="En-tête Car"/>
    <w:basedOn w:val="Policepardfaut"/>
    <w:link w:val="En-tte"/>
    <w:uiPriority w:val="99"/>
    <w:rsid w:val="005573C5"/>
    <w:rPr>
      <w:rFonts w:ascii="Arial" w:hAnsi="Arial"/>
      <w:lang w:eastAsia="fr-FR"/>
    </w:rPr>
  </w:style>
</w:styles>
</file>

<file path=word/webSettings.xml><?xml version="1.0" encoding="utf-8"?>
<w:webSettings xmlns:r="http://schemas.openxmlformats.org/officeDocument/2006/relationships" xmlns:w="http://schemas.openxmlformats.org/wordprocessingml/2006/main">
  <w:divs>
    <w:div w:id="35663838">
      <w:bodyDiv w:val="1"/>
      <w:marLeft w:val="0"/>
      <w:marRight w:val="0"/>
      <w:marTop w:val="0"/>
      <w:marBottom w:val="0"/>
      <w:divBdr>
        <w:top w:val="none" w:sz="0" w:space="0" w:color="auto"/>
        <w:left w:val="none" w:sz="0" w:space="0" w:color="auto"/>
        <w:bottom w:val="none" w:sz="0" w:space="0" w:color="auto"/>
        <w:right w:val="none" w:sz="0" w:space="0" w:color="auto"/>
      </w:divBdr>
    </w:div>
    <w:div w:id="55671790">
      <w:bodyDiv w:val="1"/>
      <w:marLeft w:val="0"/>
      <w:marRight w:val="0"/>
      <w:marTop w:val="0"/>
      <w:marBottom w:val="0"/>
      <w:divBdr>
        <w:top w:val="none" w:sz="0" w:space="0" w:color="auto"/>
        <w:left w:val="none" w:sz="0" w:space="0" w:color="auto"/>
        <w:bottom w:val="none" w:sz="0" w:space="0" w:color="auto"/>
        <w:right w:val="none" w:sz="0" w:space="0" w:color="auto"/>
      </w:divBdr>
    </w:div>
    <w:div w:id="96489065">
      <w:bodyDiv w:val="1"/>
      <w:marLeft w:val="0"/>
      <w:marRight w:val="0"/>
      <w:marTop w:val="0"/>
      <w:marBottom w:val="0"/>
      <w:divBdr>
        <w:top w:val="none" w:sz="0" w:space="0" w:color="auto"/>
        <w:left w:val="none" w:sz="0" w:space="0" w:color="auto"/>
        <w:bottom w:val="none" w:sz="0" w:space="0" w:color="auto"/>
        <w:right w:val="none" w:sz="0" w:space="0" w:color="auto"/>
      </w:divBdr>
    </w:div>
    <w:div w:id="101386120">
      <w:bodyDiv w:val="1"/>
      <w:marLeft w:val="0"/>
      <w:marRight w:val="0"/>
      <w:marTop w:val="0"/>
      <w:marBottom w:val="0"/>
      <w:divBdr>
        <w:top w:val="none" w:sz="0" w:space="0" w:color="auto"/>
        <w:left w:val="none" w:sz="0" w:space="0" w:color="auto"/>
        <w:bottom w:val="none" w:sz="0" w:space="0" w:color="auto"/>
        <w:right w:val="none" w:sz="0" w:space="0" w:color="auto"/>
      </w:divBdr>
    </w:div>
    <w:div w:id="114837689">
      <w:bodyDiv w:val="1"/>
      <w:marLeft w:val="0"/>
      <w:marRight w:val="0"/>
      <w:marTop w:val="0"/>
      <w:marBottom w:val="0"/>
      <w:divBdr>
        <w:top w:val="none" w:sz="0" w:space="0" w:color="auto"/>
        <w:left w:val="none" w:sz="0" w:space="0" w:color="auto"/>
        <w:bottom w:val="none" w:sz="0" w:space="0" w:color="auto"/>
        <w:right w:val="none" w:sz="0" w:space="0" w:color="auto"/>
      </w:divBdr>
    </w:div>
    <w:div w:id="119691964">
      <w:bodyDiv w:val="1"/>
      <w:marLeft w:val="0"/>
      <w:marRight w:val="0"/>
      <w:marTop w:val="0"/>
      <w:marBottom w:val="0"/>
      <w:divBdr>
        <w:top w:val="none" w:sz="0" w:space="0" w:color="auto"/>
        <w:left w:val="none" w:sz="0" w:space="0" w:color="auto"/>
        <w:bottom w:val="none" w:sz="0" w:space="0" w:color="auto"/>
        <w:right w:val="none" w:sz="0" w:space="0" w:color="auto"/>
      </w:divBdr>
    </w:div>
    <w:div w:id="122236025">
      <w:bodyDiv w:val="1"/>
      <w:marLeft w:val="0"/>
      <w:marRight w:val="0"/>
      <w:marTop w:val="0"/>
      <w:marBottom w:val="0"/>
      <w:divBdr>
        <w:top w:val="none" w:sz="0" w:space="0" w:color="auto"/>
        <w:left w:val="none" w:sz="0" w:space="0" w:color="auto"/>
        <w:bottom w:val="none" w:sz="0" w:space="0" w:color="auto"/>
        <w:right w:val="none" w:sz="0" w:space="0" w:color="auto"/>
      </w:divBdr>
    </w:div>
    <w:div w:id="192310828">
      <w:bodyDiv w:val="1"/>
      <w:marLeft w:val="0"/>
      <w:marRight w:val="0"/>
      <w:marTop w:val="0"/>
      <w:marBottom w:val="0"/>
      <w:divBdr>
        <w:top w:val="none" w:sz="0" w:space="0" w:color="auto"/>
        <w:left w:val="none" w:sz="0" w:space="0" w:color="auto"/>
        <w:bottom w:val="none" w:sz="0" w:space="0" w:color="auto"/>
        <w:right w:val="none" w:sz="0" w:space="0" w:color="auto"/>
      </w:divBdr>
    </w:div>
    <w:div w:id="201676676">
      <w:bodyDiv w:val="1"/>
      <w:marLeft w:val="0"/>
      <w:marRight w:val="0"/>
      <w:marTop w:val="0"/>
      <w:marBottom w:val="0"/>
      <w:divBdr>
        <w:top w:val="none" w:sz="0" w:space="0" w:color="auto"/>
        <w:left w:val="none" w:sz="0" w:space="0" w:color="auto"/>
        <w:bottom w:val="none" w:sz="0" w:space="0" w:color="auto"/>
        <w:right w:val="none" w:sz="0" w:space="0" w:color="auto"/>
      </w:divBdr>
    </w:div>
    <w:div w:id="224222084">
      <w:bodyDiv w:val="1"/>
      <w:marLeft w:val="0"/>
      <w:marRight w:val="0"/>
      <w:marTop w:val="0"/>
      <w:marBottom w:val="0"/>
      <w:divBdr>
        <w:top w:val="none" w:sz="0" w:space="0" w:color="auto"/>
        <w:left w:val="none" w:sz="0" w:space="0" w:color="auto"/>
        <w:bottom w:val="none" w:sz="0" w:space="0" w:color="auto"/>
        <w:right w:val="none" w:sz="0" w:space="0" w:color="auto"/>
      </w:divBdr>
    </w:div>
    <w:div w:id="227811236">
      <w:bodyDiv w:val="1"/>
      <w:marLeft w:val="0"/>
      <w:marRight w:val="0"/>
      <w:marTop w:val="0"/>
      <w:marBottom w:val="0"/>
      <w:divBdr>
        <w:top w:val="none" w:sz="0" w:space="0" w:color="auto"/>
        <w:left w:val="none" w:sz="0" w:space="0" w:color="auto"/>
        <w:bottom w:val="none" w:sz="0" w:space="0" w:color="auto"/>
        <w:right w:val="none" w:sz="0" w:space="0" w:color="auto"/>
      </w:divBdr>
    </w:div>
    <w:div w:id="262765278">
      <w:bodyDiv w:val="1"/>
      <w:marLeft w:val="0"/>
      <w:marRight w:val="0"/>
      <w:marTop w:val="0"/>
      <w:marBottom w:val="0"/>
      <w:divBdr>
        <w:top w:val="none" w:sz="0" w:space="0" w:color="auto"/>
        <w:left w:val="none" w:sz="0" w:space="0" w:color="auto"/>
        <w:bottom w:val="none" w:sz="0" w:space="0" w:color="auto"/>
        <w:right w:val="none" w:sz="0" w:space="0" w:color="auto"/>
      </w:divBdr>
      <w:divsChild>
        <w:div w:id="1704746775">
          <w:marLeft w:val="360"/>
          <w:marRight w:val="0"/>
          <w:marTop w:val="120"/>
          <w:marBottom w:val="0"/>
          <w:divBdr>
            <w:top w:val="none" w:sz="0" w:space="0" w:color="auto"/>
            <w:left w:val="none" w:sz="0" w:space="0" w:color="auto"/>
            <w:bottom w:val="none" w:sz="0" w:space="0" w:color="auto"/>
            <w:right w:val="none" w:sz="0" w:space="0" w:color="auto"/>
          </w:divBdr>
        </w:div>
      </w:divsChild>
    </w:div>
    <w:div w:id="263223244">
      <w:bodyDiv w:val="1"/>
      <w:marLeft w:val="0"/>
      <w:marRight w:val="0"/>
      <w:marTop w:val="0"/>
      <w:marBottom w:val="0"/>
      <w:divBdr>
        <w:top w:val="none" w:sz="0" w:space="0" w:color="auto"/>
        <w:left w:val="none" w:sz="0" w:space="0" w:color="auto"/>
        <w:bottom w:val="none" w:sz="0" w:space="0" w:color="auto"/>
        <w:right w:val="none" w:sz="0" w:space="0" w:color="auto"/>
      </w:divBdr>
      <w:divsChild>
        <w:div w:id="32578622">
          <w:marLeft w:val="360"/>
          <w:marRight w:val="0"/>
          <w:marTop w:val="120"/>
          <w:marBottom w:val="0"/>
          <w:divBdr>
            <w:top w:val="none" w:sz="0" w:space="0" w:color="auto"/>
            <w:left w:val="none" w:sz="0" w:space="0" w:color="auto"/>
            <w:bottom w:val="none" w:sz="0" w:space="0" w:color="auto"/>
            <w:right w:val="none" w:sz="0" w:space="0" w:color="auto"/>
          </w:divBdr>
        </w:div>
      </w:divsChild>
    </w:div>
    <w:div w:id="271743259">
      <w:bodyDiv w:val="1"/>
      <w:marLeft w:val="0"/>
      <w:marRight w:val="0"/>
      <w:marTop w:val="0"/>
      <w:marBottom w:val="0"/>
      <w:divBdr>
        <w:top w:val="none" w:sz="0" w:space="0" w:color="auto"/>
        <w:left w:val="none" w:sz="0" w:space="0" w:color="auto"/>
        <w:bottom w:val="none" w:sz="0" w:space="0" w:color="auto"/>
        <w:right w:val="none" w:sz="0" w:space="0" w:color="auto"/>
      </w:divBdr>
    </w:div>
    <w:div w:id="272247823">
      <w:bodyDiv w:val="1"/>
      <w:marLeft w:val="0"/>
      <w:marRight w:val="0"/>
      <w:marTop w:val="0"/>
      <w:marBottom w:val="0"/>
      <w:divBdr>
        <w:top w:val="none" w:sz="0" w:space="0" w:color="auto"/>
        <w:left w:val="none" w:sz="0" w:space="0" w:color="auto"/>
        <w:bottom w:val="none" w:sz="0" w:space="0" w:color="auto"/>
        <w:right w:val="none" w:sz="0" w:space="0" w:color="auto"/>
      </w:divBdr>
    </w:div>
    <w:div w:id="321011023">
      <w:bodyDiv w:val="1"/>
      <w:marLeft w:val="0"/>
      <w:marRight w:val="0"/>
      <w:marTop w:val="0"/>
      <w:marBottom w:val="0"/>
      <w:divBdr>
        <w:top w:val="none" w:sz="0" w:space="0" w:color="auto"/>
        <w:left w:val="none" w:sz="0" w:space="0" w:color="auto"/>
        <w:bottom w:val="none" w:sz="0" w:space="0" w:color="auto"/>
        <w:right w:val="none" w:sz="0" w:space="0" w:color="auto"/>
      </w:divBdr>
    </w:div>
    <w:div w:id="325287080">
      <w:bodyDiv w:val="1"/>
      <w:marLeft w:val="0"/>
      <w:marRight w:val="0"/>
      <w:marTop w:val="0"/>
      <w:marBottom w:val="0"/>
      <w:divBdr>
        <w:top w:val="none" w:sz="0" w:space="0" w:color="auto"/>
        <w:left w:val="none" w:sz="0" w:space="0" w:color="auto"/>
        <w:bottom w:val="none" w:sz="0" w:space="0" w:color="auto"/>
        <w:right w:val="none" w:sz="0" w:space="0" w:color="auto"/>
      </w:divBdr>
    </w:div>
    <w:div w:id="361562560">
      <w:bodyDiv w:val="1"/>
      <w:marLeft w:val="0"/>
      <w:marRight w:val="0"/>
      <w:marTop w:val="0"/>
      <w:marBottom w:val="0"/>
      <w:divBdr>
        <w:top w:val="none" w:sz="0" w:space="0" w:color="auto"/>
        <w:left w:val="none" w:sz="0" w:space="0" w:color="auto"/>
        <w:bottom w:val="none" w:sz="0" w:space="0" w:color="auto"/>
        <w:right w:val="none" w:sz="0" w:space="0" w:color="auto"/>
      </w:divBdr>
    </w:div>
    <w:div w:id="367878561">
      <w:bodyDiv w:val="1"/>
      <w:marLeft w:val="0"/>
      <w:marRight w:val="0"/>
      <w:marTop w:val="0"/>
      <w:marBottom w:val="0"/>
      <w:divBdr>
        <w:top w:val="none" w:sz="0" w:space="0" w:color="auto"/>
        <w:left w:val="none" w:sz="0" w:space="0" w:color="auto"/>
        <w:bottom w:val="none" w:sz="0" w:space="0" w:color="auto"/>
        <w:right w:val="none" w:sz="0" w:space="0" w:color="auto"/>
      </w:divBdr>
    </w:div>
    <w:div w:id="428702248">
      <w:bodyDiv w:val="1"/>
      <w:marLeft w:val="0"/>
      <w:marRight w:val="0"/>
      <w:marTop w:val="0"/>
      <w:marBottom w:val="0"/>
      <w:divBdr>
        <w:top w:val="none" w:sz="0" w:space="0" w:color="auto"/>
        <w:left w:val="none" w:sz="0" w:space="0" w:color="auto"/>
        <w:bottom w:val="none" w:sz="0" w:space="0" w:color="auto"/>
        <w:right w:val="none" w:sz="0" w:space="0" w:color="auto"/>
      </w:divBdr>
    </w:div>
    <w:div w:id="439952347">
      <w:bodyDiv w:val="1"/>
      <w:marLeft w:val="0"/>
      <w:marRight w:val="0"/>
      <w:marTop w:val="0"/>
      <w:marBottom w:val="0"/>
      <w:divBdr>
        <w:top w:val="none" w:sz="0" w:space="0" w:color="auto"/>
        <w:left w:val="none" w:sz="0" w:space="0" w:color="auto"/>
        <w:bottom w:val="none" w:sz="0" w:space="0" w:color="auto"/>
        <w:right w:val="none" w:sz="0" w:space="0" w:color="auto"/>
      </w:divBdr>
    </w:div>
    <w:div w:id="466779028">
      <w:bodyDiv w:val="1"/>
      <w:marLeft w:val="0"/>
      <w:marRight w:val="0"/>
      <w:marTop w:val="0"/>
      <w:marBottom w:val="0"/>
      <w:divBdr>
        <w:top w:val="none" w:sz="0" w:space="0" w:color="auto"/>
        <w:left w:val="none" w:sz="0" w:space="0" w:color="auto"/>
        <w:bottom w:val="none" w:sz="0" w:space="0" w:color="auto"/>
        <w:right w:val="none" w:sz="0" w:space="0" w:color="auto"/>
      </w:divBdr>
      <w:divsChild>
        <w:div w:id="837424851">
          <w:marLeft w:val="360"/>
          <w:marRight w:val="0"/>
          <w:marTop w:val="120"/>
          <w:marBottom w:val="0"/>
          <w:divBdr>
            <w:top w:val="none" w:sz="0" w:space="0" w:color="auto"/>
            <w:left w:val="none" w:sz="0" w:space="0" w:color="auto"/>
            <w:bottom w:val="none" w:sz="0" w:space="0" w:color="auto"/>
            <w:right w:val="none" w:sz="0" w:space="0" w:color="auto"/>
          </w:divBdr>
        </w:div>
      </w:divsChild>
    </w:div>
    <w:div w:id="482164162">
      <w:bodyDiv w:val="1"/>
      <w:marLeft w:val="0"/>
      <w:marRight w:val="0"/>
      <w:marTop w:val="0"/>
      <w:marBottom w:val="0"/>
      <w:divBdr>
        <w:top w:val="none" w:sz="0" w:space="0" w:color="auto"/>
        <w:left w:val="none" w:sz="0" w:space="0" w:color="auto"/>
        <w:bottom w:val="none" w:sz="0" w:space="0" w:color="auto"/>
        <w:right w:val="none" w:sz="0" w:space="0" w:color="auto"/>
      </w:divBdr>
    </w:div>
    <w:div w:id="504512190">
      <w:bodyDiv w:val="1"/>
      <w:marLeft w:val="0"/>
      <w:marRight w:val="0"/>
      <w:marTop w:val="0"/>
      <w:marBottom w:val="0"/>
      <w:divBdr>
        <w:top w:val="none" w:sz="0" w:space="0" w:color="auto"/>
        <w:left w:val="none" w:sz="0" w:space="0" w:color="auto"/>
        <w:bottom w:val="none" w:sz="0" w:space="0" w:color="auto"/>
        <w:right w:val="none" w:sz="0" w:space="0" w:color="auto"/>
      </w:divBdr>
    </w:div>
    <w:div w:id="537090958">
      <w:bodyDiv w:val="1"/>
      <w:marLeft w:val="0"/>
      <w:marRight w:val="0"/>
      <w:marTop w:val="0"/>
      <w:marBottom w:val="0"/>
      <w:divBdr>
        <w:top w:val="none" w:sz="0" w:space="0" w:color="auto"/>
        <w:left w:val="none" w:sz="0" w:space="0" w:color="auto"/>
        <w:bottom w:val="none" w:sz="0" w:space="0" w:color="auto"/>
        <w:right w:val="none" w:sz="0" w:space="0" w:color="auto"/>
      </w:divBdr>
    </w:div>
    <w:div w:id="540679090">
      <w:bodyDiv w:val="1"/>
      <w:marLeft w:val="0"/>
      <w:marRight w:val="0"/>
      <w:marTop w:val="0"/>
      <w:marBottom w:val="0"/>
      <w:divBdr>
        <w:top w:val="none" w:sz="0" w:space="0" w:color="auto"/>
        <w:left w:val="none" w:sz="0" w:space="0" w:color="auto"/>
        <w:bottom w:val="none" w:sz="0" w:space="0" w:color="auto"/>
        <w:right w:val="none" w:sz="0" w:space="0" w:color="auto"/>
      </w:divBdr>
    </w:div>
    <w:div w:id="550652385">
      <w:bodyDiv w:val="1"/>
      <w:marLeft w:val="0"/>
      <w:marRight w:val="0"/>
      <w:marTop w:val="0"/>
      <w:marBottom w:val="0"/>
      <w:divBdr>
        <w:top w:val="none" w:sz="0" w:space="0" w:color="auto"/>
        <w:left w:val="none" w:sz="0" w:space="0" w:color="auto"/>
        <w:bottom w:val="none" w:sz="0" w:space="0" w:color="auto"/>
        <w:right w:val="none" w:sz="0" w:space="0" w:color="auto"/>
      </w:divBdr>
    </w:div>
    <w:div w:id="551308619">
      <w:bodyDiv w:val="1"/>
      <w:marLeft w:val="0"/>
      <w:marRight w:val="0"/>
      <w:marTop w:val="0"/>
      <w:marBottom w:val="0"/>
      <w:divBdr>
        <w:top w:val="none" w:sz="0" w:space="0" w:color="auto"/>
        <w:left w:val="none" w:sz="0" w:space="0" w:color="auto"/>
        <w:bottom w:val="none" w:sz="0" w:space="0" w:color="auto"/>
        <w:right w:val="none" w:sz="0" w:space="0" w:color="auto"/>
      </w:divBdr>
    </w:div>
    <w:div w:id="556622196">
      <w:bodyDiv w:val="1"/>
      <w:marLeft w:val="0"/>
      <w:marRight w:val="0"/>
      <w:marTop w:val="0"/>
      <w:marBottom w:val="0"/>
      <w:divBdr>
        <w:top w:val="none" w:sz="0" w:space="0" w:color="auto"/>
        <w:left w:val="none" w:sz="0" w:space="0" w:color="auto"/>
        <w:bottom w:val="none" w:sz="0" w:space="0" w:color="auto"/>
        <w:right w:val="none" w:sz="0" w:space="0" w:color="auto"/>
      </w:divBdr>
      <w:divsChild>
        <w:div w:id="625087267">
          <w:marLeft w:val="0"/>
          <w:marRight w:val="0"/>
          <w:marTop w:val="0"/>
          <w:marBottom w:val="0"/>
          <w:divBdr>
            <w:top w:val="none" w:sz="0" w:space="0" w:color="auto"/>
            <w:left w:val="none" w:sz="0" w:space="0" w:color="auto"/>
            <w:bottom w:val="none" w:sz="0" w:space="0" w:color="auto"/>
            <w:right w:val="none" w:sz="0" w:space="0" w:color="auto"/>
          </w:divBdr>
        </w:div>
      </w:divsChild>
    </w:div>
    <w:div w:id="558827376">
      <w:bodyDiv w:val="1"/>
      <w:marLeft w:val="0"/>
      <w:marRight w:val="0"/>
      <w:marTop w:val="0"/>
      <w:marBottom w:val="0"/>
      <w:divBdr>
        <w:top w:val="none" w:sz="0" w:space="0" w:color="auto"/>
        <w:left w:val="none" w:sz="0" w:space="0" w:color="auto"/>
        <w:bottom w:val="none" w:sz="0" w:space="0" w:color="auto"/>
        <w:right w:val="none" w:sz="0" w:space="0" w:color="auto"/>
      </w:divBdr>
      <w:divsChild>
        <w:div w:id="1148671490">
          <w:marLeft w:val="0"/>
          <w:marRight w:val="0"/>
          <w:marTop w:val="0"/>
          <w:marBottom w:val="0"/>
          <w:divBdr>
            <w:top w:val="none" w:sz="0" w:space="0" w:color="auto"/>
            <w:left w:val="none" w:sz="0" w:space="0" w:color="auto"/>
            <w:bottom w:val="none" w:sz="0" w:space="0" w:color="auto"/>
            <w:right w:val="none" w:sz="0" w:space="0" w:color="auto"/>
          </w:divBdr>
        </w:div>
      </w:divsChild>
    </w:div>
    <w:div w:id="587034343">
      <w:bodyDiv w:val="1"/>
      <w:marLeft w:val="0"/>
      <w:marRight w:val="0"/>
      <w:marTop w:val="0"/>
      <w:marBottom w:val="0"/>
      <w:divBdr>
        <w:top w:val="none" w:sz="0" w:space="0" w:color="auto"/>
        <w:left w:val="none" w:sz="0" w:space="0" w:color="auto"/>
        <w:bottom w:val="none" w:sz="0" w:space="0" w:color="auto"/>
        <w:right w:val="none" w:sz="0" w:space="0" w:color="auto"/>
      </w:divBdr>
    </w:div>
    <w:div w:id="607854251">
      <w:bodyDiv w:val="1"/>
      <w:marLeft w:val="0"/>
      <w:marRight w:val="0"/>
      <w:marTop w:val="0"/>
      <w:marBottom w:val="0"/>
      <w:divBdr>
        <w:top w:val="none" w:sz="0" w:space="0" w:color="auto"/>
        <w:left w:val="none" w:sz="0" w:space="0" w:color="auto"/>
        <w:bottom w:val="none" w:sz="0" w:space="0" w:color="auto"/>
        <w:right w:val="none" w:sz="0" w:space="0" w:color="auto"/>
      </w:divBdr>
      <w:divsChild>
        <w:div w:id="1574583818">
          <w:marLeft w:val="0"/>
          <w:marRight w:val="0"/>
          <w:marTop w:val="0"/>
          <w:marBottom w:val="0"/>
          <w:divBdr>
            <w:top w:val="none" w:sz="0" w:space="0" w:color="auto"/>
            <w:left w:val="none" w:sz="0" w:space="0" w:color="auto"/>
            <w:bottom w:val="none" w:sz="0" w:space="0" w:color="auto"/>
            <w:right w:val="none" w:sz="0" w:space="0" w:color="auto"/>
          </w:divBdr>
        </w:div>
      </w:divsChild>
    </w:div>
    <w:div w:id="632058846">
      <w:bodyDiv w:val="1"/>
      <w:marLeft w:val="0"/>
      <w:marRight w:val="0"/>
      <w:marTop w:val="0"/>
      <w:marBottom w:val="0"/>
      <w:divBdr>
        <w:top w:val="none" w:sz="0" w:space="0" w:color="auto"/>
        <w:left w:val="none" w:sz="0" w:space="0" w:color="auto"/>
        <w:bottom w:val="none" w:sz="0" w:space="0" w:color="auto"/>
        <w:right w:val="none" w:sz="0" w:space="0" w:color="auto"/>
      </w:divBdr>
    </w:div>
    <w:div w:id="635985425">
      <w:bodyDiv w:val="1"/>
      <w:marLeft w:val="0"/>
      <w:marRight w:val="0"/>
      <w:marTop w:val="0"/>
      <w:marBottom w:val="0"/>
      <w:divBdr>
        <w:top w:val="none" w:sz="0" w:space="0" w:color="auto"/>
        <w:left w:val="none" w:sz="0" w:space="0" w:color="auto"/>
        <w:bottom w:val="none" w:sz="0" w:space="0" w:color="auto"/>
        <w:right w:val="none" w:sz="0" w:space="0" w:color="auto"/>
      </w:divBdr>
      <w:divsChild>
        <w:div w:id="1758331718">
          <w:marLeft w:val="0"/>
          <w:marRight w:val="0"/>
          <w:marTop w:val="0"/>
          <w:marBottom w:val="0"/>
          <w:divBdr>
            <w:top w:val="none" w:sz="0" w:space="0" w:color="auto"/>
            <w:left w:val="none" w:sz="0" w:space="0" w:color="auto"/>
            <w:bottom w:val="none" w:sz="0" w:space="0" w:color="auto"/>
            <w:right w:val="none" w:sz="0" w:space="0" w:color="auto"/>
          </w:divBdr>
        </w:div>
      </w:divsChild>
    </w:div>
    <w:div w:id="653526380">
      <w:bodyDiv w:val="1"/>
      <w:marLeft w:val="0"/>
      <w:marRight w:val="0"/>
      <w:marTop w:val="0"/>
      <w:marBottom w:val="0"/>
      <w:divBdr>
        <w:top w:val="none" w:sz="0" w:space="0" w:color="auto"/>
        <w:left w:val="none" w:sz="0" w:space="0" w:color="auto"/>
        <w:bottom w:val="none" w:sz="0" w:space="0" w:color="auto"/>
        <w:right w:val="none" w:sz="0" w:space="0" w:color="auto"/>
      </w:divBdr>
    </w:div>
    <w:div w:id="671882215">
      <w:bodyDiv w:val="1"/>
      <w:marLeft w:val="0"/>
      <w:marRight w:val="0"/>
      <w:marTop w:val="0"/>
      <w:marBottom w:val="0"/>
      <w:divBdr>
        <w:top w:val="none" w:sz="0" w:space="0" w:color="auto"/>
        <w:left w:val="none" w:sz="0" w:space="0" w:color="auto"/>
        <w:bottom w:val="none" w:sz="0" w:space="0" w:color="auto"/>
        <w:right w:val="none" w:sz="0" w:space="0" w:color="auto"/>
      </w:divBdr>
    </w:div>
    <w:div w:id="683823165">
      <w:bodyDiv w:val="1"/>
      <w:marLeft w:val="0"/>
      <w:marRight w:val="0"/>
      <w:marTop w:val="0"/>
      <w:marBottom w:val="0"/>
      <w:divBdr>
        <w:top w:val="none" w:sz="0" w:space="0" w:color="auto"/>
        <w:left w:val="none" w:sz="0" w:space="0" w:color="auto"/>
        <w:bottom w:val="none" w:sz="0" w:space="0" w:color="auto"/>
        <w:right w:val="none" w:sz="0" w:space="0" w:color="auto"/>
      </w:divBdr>
      <w:divsChild>
        <w:div w:id="637564784">
          <w:marLeft w:val="360"/>
          <w:marRight w:val="0"/>
          <w:marTop w:val="120"/>
          <w:marBottom w:val="0"/>
          <w:divBdr>
            <w:top w:val="none" w:sz="0" w:space="0" w:color="auto"/>
            <w:left w:val="none" w:sz="0" w:space="0" w:color="auto"/>
            <w:bottom w:val="none" w:sz="0" w:space="0" w:color="auto"/>
            <w:right w:val="none" w:sz="0" w:space="0" w:color="auto"/>
          </w:divBdr>
        </w:div>
      </w:divsChild>
    </w:div>
    <w:div w:id="686325653">
      <w:bodyDiv w:val="1"/>
      <w:marLeft w:val="0"/>
      <w:marRight w:val="0"/>
      <w:marTop w:val="0"/>
      <w:marBottom w:val="0"/>
      <w:divBdr>
        <w:top w:val="none" w:sz="0" w:space="0" w:color="auto"/>
        <w:left w:val="none" w:sz="0" w:space="0" w:color="auto"/>
        <w:bottom w:val="none" w:sz="0" w:space="0" w:color="auto"/>
        <w:right w:val="none" w:sz="0" w:space="0" w:color="auto"/>
      </w:divBdr>
      <w:divsChild>
        <w:div w:id="760177115">
          <w:marLeft w:val="360"/>
          <w:marRight w:val="0"/>
          <w:marTop w:val="77"/>
          <w:marBottom w:val="115"/>
          <w:divBdr>
            <w:top w:val="none" w:sz="0" w:space="0" w:color="auto"/>
            <w:left w:val="none" w:sz="0" w:space="0" w:color="auto"/>
            <w:bottom w:val="none" w:sz="0" w:space="0" w:color="auto"/>
            <w:right w:val="none" w:sz="0" w:space="0" w:color="auto"/>
          </w:divBdr>
        </w:div>
      </w:divsChild>
    </w:div>
    <w:div w:id="760611559">
      <w:bodyDiv w:val="1"/>
      <w:marLeft w:val="0"/>
      <w:marRight w:val="0"/>
      <w:marTop w:val="0"/>
      <w:marBottom w:val="0"/>
      <w:divBdr>
        <w:top w:val="none" w:sz="0" w:space="0" w:color="auto"/>
        <w:left w:val="none" w:sz="0" w:space="0" w:color="auto"/>
        <w:bottom w:val="none" w:sz="0" w:space="0" w:color="auto"/>
        <w:right w:val="none" w:sz="0" w:space="0" w:color="auto"/>
      </w:divBdr>
      <w:divsChild>
        <w:div w:id="1672558297">
          <w:marLeft w:val="360"/>
          <w:marRight w:val="0"/>
          <w:marTop w:val="120"/>
          <w:marBottom w:val="0"/>
          <w:divBdr>
            <w:top w:val="none" w:sz="0" w:space="0" w:color="auto"/>
            <w:left w:val="none" w:sz="0" w:space="0" w:color="auto"/>
            <w:bottom w:val="none" w:sz="0" w:space="0" w:color="auto"/>
            <w:right w:val="none" w:sz="0" w:space="0" w:color="auto"/>
          </w:divBdr>
        </w:div>
      </w:divsChild>
    </w:div>
    <w:div w:id="777915453">
      <w:bodyDiv w:val="1"/>
      <w:marLeft w:val="0"/>
      <w:marRight w:val="0"/>
      <w:marTop w:val="0"/>
      <w:marBottom w:val="0"/>
      <w:divBdr>
        <w:top w:val="none" w:sz="0" w:space="0" w:color="auto"/>
        <w:left w:val="none" w:sz="0" w:space="0" w:color="auto"/>
        <w:bottom w:val="none" w:sz="0" w:space="0" w:color="auto"/>
        <w:right w:val="none" w:sz="0" w:space="0" w:color="auto"/>
      </w:divBdr>
    </w:div>
    <w:div w:id="780033090">
      <w:bodyDiv w:val="1"/>
      <w:marLeft w:val="0"/>
      <w:marRight w:val="0"/>
      <w:marTop w:val="0"/>
      <w:marBottom w:val="0"/>
      <w:divBdr>
        <w:top w:val="none" w:sz="0" w:space="0" w:color="auto"/>
        <w:left w:val="none" w:sz="0" w:space="0" w:color="auto"/>
        <w:bottom w:val="none" w:sz="0" w:space="0" w:color="auto"/>
        <w:right w:val="none" w:sz="0" w:space="0" w:color="auto"/>
      </w:divBdr>
    </w:div>
    <w:div w:id="803545878">
      <w:bodyDiv w:val="1"/>
      <w:marLeft w:val="0"/>
      <w:marRight w:val="0"/>
      <w:marTop w:val="0"/>
      <w:marBottom w:val="0"/>
      <w:divBdr>
        <w:top w:val="none" w:sz="0" w:space="0" w:color="auto"/>
        <w:left w:val="none" w:sz="0" w:space="0" w:color="auto"/>
        <w:bottom w:val="none" w:sz="0" w:space="0" w:color="auto"/>
        <w:right w:val="none" w:sz="0" w:space="0" w:color="auto"/>
      </w:divBdr>
    </w:div>
    <w:div w:id="806780494">
      <w:bodyDiv w:val="1"/>
      <w:marLeft w:val="0"/>
      <w:marRight w:val="0"/>
      <w:marTop w:val="0"/>
      <w:marBottom w:val="0"/>
      <w:divBdr>
        <w:top w:val="none" w:sz="0" w:space="0" w:color="auto"/>
        <w:left w:val="none" w:sz="0" w:space="0" w:color="auto"/>
        <w:bottom w:val="none" w:sz="0" w:space="0" w:color="auto"/>
        <w:right w:val="none" w:sz="0" w:space="0" w:color="auto"/>
      </w:divBdr>
    </w:div>
    <w:div w:id="887494081">
      <w:bodyDiv w:val="1"/>
      <w:marLeft w:val="0"/>
      <w:marRight w:val="0"/>
      <w:marTop w:val="0"/>
      <w:marBottom w:val="0"/>
      <w:divBdr>
        <w:top w:val="none" w:sz="0" w:space="0" w:color="auto"/>
        <w:left w:val="none" w:sz="0" w:space="0" w:color="auto"/>
        <w:bottom w:val="none" w:sz="0" w:space="0" w:color="auto"/>
        <w:right w:val="none" w:sz="0" w:space="0" w:color="auto"/>
      </w:divBdr>
    </w:div>
    <w:div w:id="893152488">
      <w:bodyDiv w:val="1"/>
      <w:marLeft w:val="0"/>
      <w:marRight w:val="0"/>
      <w:marTop w:val="0"/>
      <w:marBottom w:val="0"/>
      <w:divBdr>
        <w:top w:val="none" w:sz="0" w:space="0" w:color="auto"/>
        <w:left w:val="none" w:sz="0" w:space="0" w:color="auto"/>
        <w:bottom w:val="none" w:sz="0" w:space="0" w:color="auto"/>
        <w:right w:val="none" w:sz="0" w:space="0" w:color="auto"/>
      </w:divBdr>
    </w:div>
    <w:div w:id="894973391">
      <w:bodyDiv w:val="1"/>
      <w:marLeft w:val="0"/>
      <w:marRight w:val="0"/>
      <w:marTop w:val="0"/>
      <w:marBottom w:val="0"/>
      <w:divBdr>
        <w:top w:val="none" w:sz="0" w:space="0" w:color="auto"/>
        <w:left w:val="none" w:sz="0" w:space="0" w:color="auto"/>
        <w:bottom w:val="none" w:sz="0" w:space="0" w:color="auto"/>
        <w:right w:val="none" w:sz="0" w:space="0" w:color="auto"/>
      </w:divBdr>
    </w:div>
    <w:div w:id="922493336">
      <w:bodyDiv w:val="1"/>
      <w:marLeft w:val="0"/>
      <w:marRight w:val="0"/>
      <w:marTop w:val="0"/>
      <w:marBottom w:val="0"/>
      <w:divBdr>
        <w:top w:val="none" w:sz="0" w:space="0" w:color="auto"/>
        <w:left w:val="none" w:sz="0" w:space="0" w:color="auto"/>
        <w:bottom w:val="none" w:sz="0" w:space="0" w:color="auto"/>
        <w:right w:val="none" w:sz="0" w:space="0" w:color="auto"/>
      </w:divBdr>
    </w:div>
    <w:div w:id="965505789">
      <w:bodyDiv w:val="1"/>
      <w:marLeft w:val="0"/>
      <w:marRight w:val="0"/>
      <w:marTop w:val="0"/>
      <w:marBottom w:val="0"/>
      <w:divBdr>
        <w:top w:val="none" w:sz="0" w:space="0" w:color="auto"/>
        <w:left w:val="none" w:sz="0" w:space="0" w:color="auto"/>
        <w:bottom w:val="none" w:sz="0" w:space="0" w:color="auto"/>
        <w:right w:val="none" w:sz="0" w:space="0" w:color="auto"/>
      </w:divBdr>
    </w:div>
    <w:div w:id="1015420678">
      <w:bodyDiv w:val="1"/>
      <w:marLeft w:val="0"/>
      <w:marRight w:val="0"/>
      <w:marTop w:val="0"/>
      <w:marBottom w:val="0"/>
      <w:divBdr>
        <w:top w:val="none" w:sz="0" w:space="0" w:color="auto"/>
        <w:left w:val="none" w:sz="0" w:space="0" w:color="auto"/>
        <w:bottom w:val="none" w:sz="0" w:space="0" w:color="auto"/>
        <w:right w:val="none" w:sz="0" w:space="0" w:color="auto"/>
      </w:divBdr>
    </w:div>
    <w:div w:id="1068962856">
      <w:bodyDiv w:val="1"/>
      <w:marLeft w:val="0"/>
      <w:marRight w:val="0"/>
      <w:marTop w:val="0"/>
      <w:marBottom w:val="0"/>
      <w:divBdr>
        <w:top w:val="none" w:sz="0" w:space="0" w:color="auto"/>
        <w:left w:val="none" w:sz="0" w:space="0" w:color="auto"/>
        <w:bottom w:val="none" w:sz="0" w:space="0" w:color="auto"/>
        <w:right w:val="none" w:sz="0" w:space="0" w:color="auto"/>
      </w:divBdr>
    </w:div>
    <w:div w:id="1077745188">
      <w:bodyDiv w:val="1"/>
      <w:marLeft w:val="0"/>
      <w:marRight w:val="0"/>
      <w:marTop w:val="0"/>
      <w:marBottom w:val="0"/>
      <w:divBdr>
        <w:top w:val="none" w:sz="0" w:space="0" w:color="auto"/>
        <w:left w:val="none" w:sz="0" w:space="0" w:color="auto"/>
        <w:bottom w:val="none" w:sz="0" w:space="0" w:color="auto"/>
        <w:right w:val="none" w:sz="0" w:space="0" w:color="auto"/>
      </w:divBdr>
    </w:div>
    <w:div w:id="1094858391">
      <w:bodyDiv w:val="1"/>
      <w:marLeft w:val="0"/>
      <w:marRight w:val="0"/>
      <w:marTop w:val="0"/>
      <w:marBottom w:val="0"/>
      <w:divBdr>
        <w:top w:val="none" w:sz="0" w:space="0" w:color="auto"/>
        <w:left w:val="none" w:sz="0" w:space="0" w:color="auto"/>
        <w:bottom w:val="none" w:sz="0" w:space="0" w:color="auto"/>
        <w:right w:val="none" w:sz="0" w:space="0" w:color="auto"/>
      </w:divBdr>
    </w:div>
    <w:div w:id="1106269023">
      <w:bodyDiv w:val="1"/>
      <w:marLeft w:val="0"/>
      <w:marRight w:val="0"/>
      <w:marTop w:val="0"/>
      <w:marBottom w:val="0"/>
      <w:divBdr>
        <w:top w:val="none" w:sz="0" w:space="0" w:color="auto"/>
        <w:left w:val="none" w:sz="0" w:space="0" w:color="auto"/>
        <w:bottom w:val="none" w:sz="0" w:space="0" w:color="auto"/>
        <w:right w:val="none" w:sz="0" w:space="0" w:color="auto"/>
      </w:divBdr>
    </w:div>
    <w:div w:id="1113940429">
      <w:bodyDiv w:val="1"/>
      <w:marLeft w:val="0"/>
      <w:marRight w:val="0"/>
      <w:marTop w:val="0"/>
      <w:marBottom w:val="0"/>
      <w:divBdr>
        <w:top w:val="none" w:sz="0" w:space="0" w:color="auto"/>
        <w:left w:val="none" w:sz="0" w:space="0" w:color="auto"/>
        <w:bottom w:val="none" w:sz="0" w:space="0" w:color="auto"/>
        <w:right w:val="none" w:sz="0" w:space="0" w:color="auto"/>
      </w:divBdr>
    </w:div>
    <w:div w:id="1137644124">
      <w:bodyDiv w:val="1"/>
      <w:marLeft w:val="0"/>
      <w:marRight w:val="0"/>
      <w:marTop w:val="0"/>
      <w:marBottom w:val="0"/>
      <w:divBdr>
        <w:top w:val="none" w:sz="0" w:space="0" w:color="auto"/>
        <w:left w:val="none" w:sz="0" w:space="0" w:color="auto"/>
        <w:bottom w:val="none" w:sz="0" w:space="0" w:color="auto"/>
        <w:right w:val="none" w:sz="0" w:space="0" w:color="auto"/>
      </w:divBdr>
    </w:div>
    <w:div w:id="1142769409">
      <w:bodyDiv w:val="1"/>
      <w:marLeft w:val="0"/>
      <w:marRight w:val="0"/>
      <w:marTop w:val="0"/>
      <w:marBottom w:val="0"/>
      <w:divBdr>
        <w:top w:val="none" w:sz="0" w:space="0" w:color="auto"/>
        <w:left w:val="none" w:sz="0" w:space="0" w:color="auto"/>
        <w:bottom w:val="none" w:sz="0" w:space="0" w:color="auto"/>
        <w:right w:val="none" w:sz="0" w:space="0" w:color="auto"/>
      </w:divBdr>
    </w:div>
    <w:div w:id="1154372986">
      <w:bodyDiv w:val="1"/>
      <w:marLeft w:val="0"/>
      <w:marRight w:val="0"/>
      <w:marTop w:val="0"/>
      <w:marBottom w:val="0"/>
      <w:divBdr>
        <w:top w:val="none" w:sz="0" w:space="0" w:color="auto"/>
        <w:left w:val="none" w:sz="0" w:space="0" w:color="auto"/>
        <w:bottom w:val="none" w:sz="0" w:space="0" w:color="auto"/>
        <w:right w:val="none" w:sz="0" w:space="0" w:color="auto"/>
      </w:divBdr>
    </w:div>
    <w:div w:id="1175537800">
      <w:bodyDiv w:val="1"/>
      <w:marLeft w:val="0"/>
      <w:marRight w:val="0"/>
      <w:marTop w:val="0"/>
      <w:marBottom w:val="0"/>
      <w:divBdr>
        <w:top w:val="none" w:sz="0" w:space="0" w:color="auto"/>
        <w:left w:val="none" w:sz="0" w:space="0" w:color="auto"/>
        <w:bottom w:val="none" w:sz="0" w:space="0" w:color="auto"/>
        <w:right w:val="none" w:sz="0" w:space="0" w:color="auto"/>
      </w:divBdr>
    </w:div>
    <w:div w:id="1179734808">
      <w:bodyDiv w:val="1"/>
      <w:marLeft w:val="0"/>
      <w:marRight w:val="0"/>
      <w:marTop w:val="0"/>
      <w:marBottom w:val="0"/>
      <w:divBdr>
        <w:top w:val="none" w:sz="0" w:space="0" w:color="auto"/>
        <w:left w:val="none" w:sz="0" w:space="0" w:color="auto"/>
        <w:bottom w:val="none" w:sz="0" w:space="0" w:color="auto"/>
        <w:right w:val="none" w:sz="0" w:space="0" w:color="auto"/>
      </w:divBdr>
    </w:div>
    <w:div w:id="1207330379">
      <w:bodyDiv w:val="1"/>
      <w:marLeft w:val="0"/>
      <w:marRight w:val="0"/>
      <w:marTop w:val="0"/>
      <w:marBottom w:val="0"/>
      <w:divBdr>
        <w:top w:val="none" w:sz="0" w:space="0" w:color="auto"/>
        <w:left w:val="none" w:sz="0" w:space="0" w:color="auto"/>
        <w:bottom w:val="none" w:sz="0" w:space="0" w:color="auto"/>
        <w:right w:val="none" w:sz="0" w:space="0" w:color="auto"/>
      </w:divBdr>
    </w:div>
    <w:div w:id="1231387213">
      <w:bodyDiv w:val="1"/>
      <w:marLeft w:val="0"/>
      <w:marRight w:val="0"/>
      <w:marTop w:val="0"/>
      <w:marBottom w:val="0"/>
      <w:divBdr>
        <w:top w:val="none" w:sz="0" w:space="0" w:color="auto"/>
        <w:left w:val="none" w:sz="0" w:space="0" w:color="auto"/>
        <w:bottom w:val="none" w:sz="0" w:space="0" w:color="auto"/>
        <w:right w:val="none" w:sz="0" w:space="0" w:color="auto"/>
      </w:divBdr>
    </w:div>
    <w:div w:id="1274942871">
      <w:bodyDiv w:val="1"/>
      <w:marLeft w:val="0"/>
      <w:marRight w:val="0"/>
      <w:marTop w:val="0"/>
      <w:marBottom w:val="0"/>
      <w:divBdr>
        <w:top w:val="none" w:sz="0" w:space="0" w:color="auto"/>
        <w:left w:val="none" w:sz="0" w:space="0" w:color="auto"/>
        <w:bottom w:val="none" w:sz="0" w:space="0" w:color="auto"/>
        <w:right w:val="none" w:sz="0" w:space="0" w:color="auto"/>
      </w:divBdr>
    </w:div>
    <w:div w:id="1275090403">
      <w:bodyDiv w:val="1"/>
      <w:marLeft w:val="0"/>
      <w:marRight w:val="0"/>
      <w:marTop w:val="0"/>
      <w:marBottom w:val="0"/>
      <w:divBdr>
        <w:top w:val="none" w:sz="0" w:space="0" w:color="auto"/>
        <w:left w:val="none" w:sz="0" w:space="0" w:color="auto"/>
        <w:bottom w:val="none" w:sz="0" w:space="0" w:color="auto"/>
        <w:right w:val="none" w:sz="0" w:space="0" w:color="auto"/>
      </w:divBdr>
    </w:div>
    <w:div w:id="1309214719">
      <w:bodyDiv w:val="1"/>
      <w:marLeft w:val="0"/>
      <w:marRight w:val="0"/>
      <w:marTop w:val="0"/>
      <w:marBottom w:val="0"/>
      <w:divBdr>
        <w:top w:val="none" w:sz="0" w:space="0" w:color="auto"/>
        <w:left w:val="none" w:sz="0" w:space="0" w:color="auto"/>
        <w:bottom w:val="none" w:sz="0" w:space="0" w:color="auto"/>
        <w:right w:val="none" w:sz="0" w:space="0" w:color="auto"/>
      </w:divBdr>
    </w:div>
    <w:div w:id="1320495920">
      <w:bodyDiv w:val="1"/>
      <w:marLeft w:val="0"/>
      <w:marRight w:val="0"/>
      <w:marTop w:val="0"/>
      <w:marBottom w:val="0"/>
      <w:divBdr>
        <w:top w:val="none" w:sz="0" w:space="0" w:color="auto"/>
        <w:left w:val="none" w:sz="0" w:space="0" w:color="auto"/>
        <w:bottom w:val="none" w:sz="0" w:space="0" w:color="auto"/>
        <w:right w:val="none" w:sz="0" w:space="0" w:color="auto"/>
      </w:divBdr>
    </w:div>
    <w:div w:id="1352488551">
      <w:bodyDiv w:val="1"/>
      <w:marLeft w:val="0"/>
      <w:marRight w:val="0"/>
      <w:marTop w:val="0"/>
      <w:marBottom w:val="0"/>
      <w:divBdr>
        <w:top w:val="none" w:sz="0" w:space="0" w:color="auto"/>
        <w:left w:val="none" w:sz="0" w:space="0" w:color="auto"/>
        <w:bottom w:val="none" w:sz="0" w:space="0" w:color="auto"/>
        <w:right w:val="none" w:sz="0" w:space="0" w:color="auto"/>
      </w:divBdr>
    </w:div>
    <w:div w:id="1392079072">
      <w:bodyDiv w:val="1"/>
      <w:marLeft w:val="0"/>
      <w:marRight w:val="0"/>
      <w:marTop w:val="0"/>
      <w:marBottom w:val="0"/>
      <w:divBdr>
        <w:top w:val="none" w:sz="0" w:space="0" w:color="auto"/>
        <w:left w:val="none" w:sz="0" w:space="0" w:color="auto"/>
        <w:bottom w:val="none" w:sz="0" w:space="0" w:color="auto"/>
        <w:right w:val="none" w:sz="0" w:space="0" w:color="auto"/>
      </w:divBdr>
    </w:div>
    <w:div w:id="1404527263">
      <w:bodyDiv w:val="1"/>
      <w:marLeft w:val="0"/>
      <w:marRight w:val="0"/>
      <w:marTop w:val="0"/>
      <w:marBottom w:val="0"/>
      <w:divBdr>
        <w:top w:val="none" w:sz="0" w:space="0" w:color="auto"/>
        <w:left w:val="none" w:sz="0" w:space="0" w:color="auto"/>
        <w:bottom w:val="none" w:sz="0" w:space="0" w:color="auto"/>
        <w:right w:val="none" w:sz="0" w:space="0" w:color="auto"/>
      </w:divBdr>
      <w:divsChild>
        <w:div w:id="288979992">
          <w:marLeft w:val="360"/>
          <w:marRight w:val="0"/>
          <w:marTop w:val="86"/>
          <w:marBottom w:val="130"/>
          <w:divBdr>
            <w:top w:val="none" w:sz="0" w:space="0" w:color="auto"/>
            <w:left w:val="none" w:sz="0" w:space="0" w:color="auto"/>
            <w:bottom w:val="none" w:sz="0" w:space="0" w:color="auto"/>
            <w:right w:val="none" w:sz="0" w:space="0" w:color="auto"/>
          </w:divBdr>
        </w:div>
      </w:divsChild>
    </w:div>
    <w:div w:id="1416704295">
      <w:bodyDiv w:val="1"/>
      <w:marLeft w:val="0"/>
      <w:marRight w:val="0"/>
      <w:marTop w:val="0"/>
      <w:marBottom w:val="0"/>
      <w:divBdr>
        <w:top w:val="none" w:sz="0" w:space="0" w:color="auto"/>
        <w:left w:val="none" w:sz="0" w:space="0" w:color="auto"/>
        <w:bottom w:val="none" w:sz="0" w:space="0" w:color="auto"/>
        <w:right w:val="none" w:sz="0" w:space="0" w:color="auto"/>
      </w:divBdr>
    </w:div>
    <w:div w:id="1449592733">
      <w:bodyDiv w:val="1"/>
      <w:marLeft w:val="0"/>
      <w:marRight w:val="0"/>
      <w:marTop w:val="0"/>
      <w:marBottom w:val="0"/>
      <w:divBdr>
        <w:top w:val="none" w:sz="0" w:space="0" w:color="auto"/>
        <w:left w:val="none" w:sz="0" w:space="0" w:color="auto"/>
        <w:bottom w:val="none" w:sz="0" w:space="0" w:color="auto"/>
        <w:right w:val="none" w:sz="0" w:space="0" w:color="auto"/>
      </w:divBdr>
    </w:div>
    <w:div w:id="1459302944">
      <w:bodyDiv w:val="1"/>
      <w:marLeft w:val="0"/>
      <w:marRight w:val="0"/>
      <w:marTop w:val="0"/>
      <w:marBottom w:val="0"/>
      <w:divBdr>
        <w:top w:val="none" w:sz="0" w:space="0" w:color="auto"/>
        <w:left w:val="none" w:sz="0" w:space="0" w:color="auto"/>
        <w:bottom w:val="none" w:sz="0" w:space="0" w:color="auto"/>
        <w:right w:val="none" w:sz="0" w:space="0" w:color="auto"/>
      </w:divBdr>
    </w:div>
    <w:div w:id="1459835477">
      <w:bodyDiv w:val="1"/>
      <w:marLeft w:val="0"/>
      <w:marRight w:val="0"/>
      <w:marTop w:val="0"/>
      <w:marBottom w:val="0"/>
      <w:divBdr>
        <w:top w:val="none" w:sz="0" w:space="0" w:color="auto"/>
        <w:left w:val="none" w:sz="0" w:space="0" w:color="auto"/>
        <w:bottom w:val="none" w:sz="0" w:space="0" w:color="auto"/>
        <w:right w:val="none" w:sz="0" w:space="0" w:color="auto"/>
      </w:divBdr>
    </w:div>
    <w:div w:id="1471709071">
      <w:bodyDiv w:val="1"/>
      <w:marLeft w:val="0"/>
      <w:marRight w:val="0"/>
      <w:marTop w:val="0"/>
      <w:marBottom w:val="0"/>
      <w:divBdr>
        <w:top w:val="none" w:sz="0" w:space="0" w:color="auto"/>
        <w:left w:val="none" w:sz="0" w:space="0" w:color="auto"/>
        <w:bottom w:val="none" w:sz="0" w:space="0" w:color="auto"/>
        <w:right w:val="none" w:sz="0" w:space="0" w:color="auto"/>
      </w:divBdr>
    </w:div>
    <w:div w:id="1484660973">
      <w:bodyDiv w:val="1"/>
      <w:marLeft w:val="0"/>
      <w:marRight w:val="0"/>
      <w:marTop w:val="0"/>
      <w:marBottom w:val="0"/>
      <w:divBdr>
        <w:top w:val="none" w:sz="0" w:space="0" w:color="auto"/>
        <w:left w:val="none" w:sz="0" w:space="0" w:color="auto"/>
        <w:bottom w:val="none" w:sz="0" w:space="0" w:color="auto"/>
        <w:right w:val="none" w:sz="0" w:space="0" w:color="auto"/>
      </w:divBdr>
    </w:div>
    <w:div w:id="1500775819">
      <w:bodyDiv w:val="1"/>
      <w:marLeft w:val="0"/>
      <w:marRight w:val="0"/>
      <w:marTop w:val="0"/>
      <w:marBottom w:val="0"/>
      <w:divBdr>
        <w:top w:val="none" w:sz="0" w:space="0" w:color="auto"/>
        <w:left w:val="none" w:sz="0" w:space="0" w:color="auto"/>
        <w:bottom w:val="none" w:sz="0" w:space="0" w:color="auto"/>
        <w:right w:val="none" w:sz="0" w:space="0" w:color="auto"/>
      </w:divBdr>
    </w:div>
    <w:div w:id="1549947995">
      <w:bodyDiv w:val="1"/>
      <w:marLeft w:val="0"/>
      <w:marRight w:val="0"/>
      <w:marTop w:val="0"/>
      <w:marBottom w:val="0"/>
      <w:divBdr>
        <w:top w:val="none" w:sz="0" w:space="0" w:color="auto"/>
        <w:left w:val="none" w:sz="0" w:space="0" w:color="auto"/>
        <w:bottom w:val="none" w:sz="0" w:space="0" w:color="auto"/>
        <w:right w:val="none" w:sz="0" w:space="0" w:color="auto"/>
      </w:divBdr>
      <w:divsChild>
        <w:div w:id="1488739830">
          <w:marLeft w:val="720"/>
          <w:marRight w:val="0"/>
          <w:marTop w:val="216"/>
          <w:marBottom w:val="0"/>
          <w:divBdr>
            <w:top w:val="none" w:sz="0" w:space="0" w:color="auto"/>
            <w:left w:val="none" w:sz="0" w:space="0" w:color="auto"/>
            <w:bottom w:val="none" w:sz="0" w:space="0" w:color="auto"/>
            <w:right w:val="none" w:sz="0" w:space="0" w:color="auto"/>
          </w:divBdr>
        </w:div>
      </w:divsChild>
    </w:div>
    <w:div w:id="1552886609">
      <w:bodyDiv w:val="1"/>
      <w:marLeft w:val="0"/>
      <w:marRight w:val="0"/>
      <w:marTop w:val="0"/>
      <w:marBottom w:val="0"/>
      <w:divBdr>
        <w:top w:val="none" w:sz="0" w:space="0" w:color="auto"/>
        <w:left w:val="none" w:sz="0" w:space="0" w:color="auto"/>
        <w:bottom w:val="none" w:sz="0" w:space="0" w:color="auto"/>
        <w:right w:val="none" w:sz="0" w:space="0" w:color="auto"/>
      </w:divBdr>
    </w:div>
    <w:div w:id="1583104061">
      <w:bodyDiv w:val="1"/>
      <w:marLeft w:val="0"/>
      <w:marRight w:val="0"/>
      <w:marTop w:val="0"/>
      <w:marBottom w:val="0"/>
      <w:divBdr>
        <w:top w:val="none" w:sz="0" w:space="0" w:color="auto"/>
        <w:left w:val="none" w:sz="0" w:space="0" w:color="auto"/>
        <w:bottom w:val="none" w:sz="0" w:space="0" w:color="auto"/>
        <w:right w:val="none" w:sz="0" w:space="0" w:color="auto"/>
      </w:divBdr>
    </w:div>
    <w:div w:id="1617180301">
      <w:bodyDiv w:val="1"/>
      <w:marLeft w:val="0"/>
      <w:marRight w:val="0"/>
      <w:marTop w:val="0"/>
      <w:marBottom w:val="0"/>
      <w:divBdr>
        <w:top w:val="none" w:sz="0" w:space="0" w:color="auto"/>
        <w:left w:val="none" w:sz="0" w:space="0" w:color="auto"/>
        <w:bottom w:val="none" w:sz="0" w:space="0" w:color="auto"/>
        <w:right w:val="none" w:sz="0" w:space="0" w:color="auto"/>
      </w:divBdr>
    </w:div>
    <w:div w:id="1625845733">
      <w:bodyDiv w:val="1"/>
      <w:marLeft w:val="0"/>
      <w:marRight w:val="0"/>
      <w:marTop w:val="0"/>
      <w:marBottom w:val="0"/>
      <w:divBdr>
        <w:top w:val="none" w:sz="0" w:space="0" w:color="auto"/>
        <w:left w:val="none" w:sz="0" w:space="0" w:color="auto"/>
        <w:bottom w:val="none" w:sz="0" w:space="0" w:color="auto"/>
        <w:right w:val="none" w:sz="0" w:space="0" w:color="auto"/>
      </w:divBdr>
    </w:div>
    <w:div w:id="1635601167">
      <w:bodyDiv w:val="1"/>
      <w:marLeft w:val="0"/>
      <w:marRight w:val="0"/>
      <w:marTop w:val="0"/>
      <w:marBottom w:val="0"/>
      <w:divBdr>
        <w:top w:val="none" w:sz="0" w:space="0" w:color="auto"/>
        <w:left w:val="none" w:sz="0" w:space="0" w:color="auto"/>
        <w:bottom w:val="none" w:sz="0" w:space="0" w:color="auto"/>
        <w:right w:val="none" w:sz="0" w:space="0" w:color="auto"/>
      </w:divBdr>
    </w:div>
    <w:div w:id="1648898675">
      <w:bodyDiv w:val="1"/>
      <w:marLeft w:val="0"/>
      <w:marRight w:val="0"/>
      <w:marTop w:val="0"/>
      <w:marBottom w:val="0"/>
      <w:divBdr>
        <w:top w:val="none" w:sz="0" w:space="0" w:color="auto"/>
        <w:left w:val="none" w:sz="0" w:space="0" w:color="auto"/>
        <w:bottom w:val="none" w:sz="0" w:space="0" w:color="auto"/>
        <w:right w:val="none" w:sz="0" w:space="0" w:color="auto"/>
      </w:divBdr>
    </w:div>
    <w:div w:id="1649480469">
      <w:bodyDiv w:val="1"/>
      <w:marLeft w:val="0"/>
      <w:marRight w:val="0"/>
      <w:marTop w:val="0"/>
      <w:marBottom w:val="0"/>
      <w:divBdr>
        <w:top w:val="none" w:sz="0" w:space="0" w:color="auto"/>
        <w:left w:val="none" w:sz="0" w:space="0" w:color="auto"/>
        <w:bottom w:val="none" w:sz="0" w:space="0" w:color="auto"/>
        <w:right w:val="none" w:sz="0" w:space="0" w:color="auto"/>
      </w:divBdr>
    </w:div>
    <w:div w:id="1718434898">
      <w:bodyDiv w:val="1"/>
      <w:marLeft w:val="0"/>
      <w:marRight w:val="0"/>
      <w:marTop w:val="0"/>
      <w:marBottom w:val="0"/>
      <w:divBdr>
        <w:top w:val="none" w:sz="0" w:space="0" w:color="auto"/>
        <w:left w:val="none" w:sz="0" w:space="0" w:color="auto"/>
        <w:bottom w:val="none" w:sz="0" w:space="0" w:color="auto"/>
        <w:right w:val="none" w:sz="0" w:space="0" w:color="auto"/>
      </w:divBdr>
    </w:div>
    <w:div w:id="1718436143">
      <w:bodyDiv w:val="1"/>
      <w:marLeft w:val="0"/>
      <w:marRight w:val="0"/>
      <w:marTop w:val="0"/>
      <w:marBottom w:val="0"/>
      <w:divBdr>
        <w:top w:val="none" w:sz="0" w:space="0" w:color="auto"/>
        <w:left w:val="none" w:sz="0" w:space="0" w:color="auto"/>
        <w:bottom w:val="none" w:sz="0" w:space="0" w:color="auto"/>
        <w:right w:val="none" w:sz="0" w:space="0" w:color="auto"/>
      </w:divBdr>
    </w:div>
    <w:div w:id="1748503452">
      <w:bodyDiv w:val="1"/>
      <w:marLeft w:val="0"/>
      <w:marRight w:val="0"/>
      <w:marTop w:val="0"/>
      <w:marBottom w:val="0"/>
      <w:divBdr>
        <w:top w:val="none" w:sz="0" w:space="0" w:color="auto"/>
        <w:left w:val="none" w:sz="0" w:space="0" w:color="auto"/>
        <w:bottom w:val="none" w:sz="0" w:space="0" w:color="auto"/>
        <w:right w:val="none" w:sz="0" w:space="0" w:color="auto"/>
      </w:divBdr>
      <w:divsChild>
        <w:div w:id="1960333567">
          <w:marLeft w:val="360"/>
          <w:marRight w:val="0"/>
          <w:marTop w:val="120"/>
          <w:marBottom w:val="0"/>
          <w:divBdr>
            <w:top w:val="none" w:sz="0" w:space="0" w:color="auto"/>
            <w:left w:val="none" w:sz="0" w:space="0" w:color="auto"/>
            <w:bottom w:val="none" w:sz="0" w:space="0" w:color="auto"/>
            <w:right w:val="none" w:sz="0" w:space="0" w:color="auto"/>
          </w:divBdr>
        </w:div>
      </w:divsChild>
    </w:div>
    <w:div w:id="1788550369">
      <w:bodyDiv w:val="1"/>
      <w:marLeft w:val="0"/>
      <w:marRight w:val="0"/>
      <w:marTop w:val="0"/>
      <w:marBottom w:val="0"/>
      <w:divBdr>
        <w:top w:val="none" w:sz="0" w:space="0" w:color="auto"/>
        <w:left w:val="none" w:sz="0" w:space="0" w:color="auto"/>
        <w:bottom w:val="none" w:sz="0" w:space="0" w:color="auto"/>
        <w:right w:val="none" w:sz="0" w:space="0" w:color="auto"/>
      </w:divBdr>
    </w:div>
    <w:div w:id="1819031524">
      <w:bodyDiv w:val="1"/>
      <w:marLeft w:val="0"/>
      <w:marRight w:val="0"/>
      <w:marTop w:val="0"/>
      <w:marBottom w:val="0"/>
      <w:divBdr>
        <w:top w:val="none" w:sz="0" w:space="0" w:color="auto"/>
        <w:left w:val="none" w:sz="0" w:space="0" w:color="auto"/>
        <w:bottom w:val="none" w:sz="0" w:space="0" w:color="auto"/>
        <w:right w:val="none" w:sz="0" w:space="0" w:color="auto"/>
      </w:divBdr>
      <w:divsChild>
        <w:div w:id="491334548">
          <w:marLeft w:val="360"/>
          <w:marRight w:val="0"/>
          <w:marTop w:val="120"/>
          <w:marBottom w:val="0"/>
          <w:divBdr>
            <w:top w:val="none" w:sz="0" w:space="0" w:color="auto"/>
            <w:left w:val="none" w:sz="0" w:space="0" w:color="auto"/>
            <w:bottom w:val="none" w:sz="0" w:space="0" w:color="auto"/>
            <w:right w:val="none" w:sz="0" w:space="0" w:color="auto"/>
          </w:divBdr>
        </w:div>
      </w:divsChild>
    </w:div>
    <w:div w:id="1822037236">
      <w:bodyDiv w:val="1"/>
      <w:marLeft w:val="0"/>
      <w:marRight w:val="0"/>
      <w:marTop w:val="0"/>
      <w:marBottom w:val="0"/>
      <w:divBdr>
        <w:top w:val="none" w:sz="0" w:space="0" w:color="auto"/>
        <w:left w:val="none" w:sz="0" w:space="0" w:color="auto"/>
        <w:bottom w:val="none" w:sz="0" w:space="0" w:color="auto"/>
        <w:right w:val="none" w:sz="0" w:space="0" w:color="auto"/>
      </w:divBdr>
    </w:div>
    <w:div w:id="1834953734">
      <w:bodyDiv w:val="1"/>
      <w:marLeft w:val="0"/>
      <w:marRight w:val="0"/>
      <w:marTop w:val="0"/>
      <w:marBottom w:val="0"/>
      <w:divBdr>
        <w:top w:val="none" w:sz="0" w:space="0" w:color="auto"/>
        <w:left w:val="none" w:sz="0" w:space="0" w:color="auto"/>
        <w:bottom w:val="none" w:sz="0" w:space="0" w:color="auto"/>
        <w:right w:val="none" w:sz="0" w:space="0" w:color="auto"/>
      </w:divBdr>
    </w:div>
    <w:div w:id="1878394799">
      <w:bodyDiv w:val="1"/>
      <w:marLeft w:val="0"/>
      <w:marRight w:val="0"/>
      <w:marTop w:val="0"/>
      <w:marBottom w:val="0"/>
      <w:divBdr>
        <w:top w:val="none" w:sz="0" w:space="0" w:color="auto"/>
        <w:left w:val="none" w:sz="0" w:space="0" w:color="auto"/>
        <w:bottom w:val="none" w:sz="0" w:space="0" w:color="auto"/>
        <w:right w:val="none" w:sz="0" w:space="0" w:color="auto"/>
      </w:divBdr>
    </w:div>
    <w:div w:id="1882353019">
      <w:bodyDiv w:val="1"/>
      <w:marLeft w:val="0"/>
      <w:marRight w:val="0"/>
      <w:marTop w:val="0"/>
      <w:marBottom w:val="0"/>
      <w:divBdr>
        <w:top w:val="none" w:sz="0" w:space="0" w:color="auto"/>
        <w:left w:val="none" w:sz="0" w:space="0" w:color="auto"/>
        <w:bottom w:val="none" w:sz="0" w:space="0" w:color="auto"/>
        <w:right w:val="none" w:sz="0" w:space="0" w:color="auto"/>
      </w:divBdr>
    </w:div>
    <w:div w:id="1885285721">
      <w:bodyDiv w:val="1"/>
      <w:marLeft w:val="0"/>
      <w:marRight w:val="0"/>
      <w:marTop w:val="0"/>
      <w:marBottom w:val="0"/>
      <w:divBdr>
        <w:top w:val="none" w:sz="0" w:space="0" w:color="auto"/>
        <w:left w:val="none" w:sz="0" w:space="0" w:color="auto"/>
        <w:bottom w:val="none" w:sz="0" w:space="0" w:color="auto"/>
        <w:right w:val="none" w:sz="0" w:space="0" w:color="auto"/>
      </w:divBdr>
    </w:div>
    <w:div w:id="1896506548">
      <w:bodyDiv w:val="1"/>
      <w:marLeft w:val="0"/>
      <w:marRight w:val="0"/>
      <w:marTop w:val="0"/>
      <w:marBottom w:val="0"/>
      <w:divBdr>
        <w:top w:val="none" w:sz="0" w:space="0" w:color="auto"/>
        <w:left w:val="none" w:sz="0" w:space="0" w:color="auto"/>
        <w:bottom w:val="none" w:sz="0" w:space="0" w:color="auto"/>
        <w:right w:val="none" w:sz="0" w:space="0" w:color="auto"/>
      </w:divBdr>
    </w:div>
    <w:div w:id="1915234312">
      <w:bodyDiv w:val="1"/>
      <w:marLeft w:val="0"/>
      <w:marRight w:val="0"/>
      <w:marTop w:val="0"/>
      <w:marBottom w:val="0"/>
      <w:divBdr>
        <w:top w:val="none" w:sz="0" w:space="0" w:color="auto"/>
        <w:left w:val="none" w:sz="0" w:space="0" w:color="auto"/>
        <w:bottom w:val="none" w:sz="0" w:space="0" w:color="auto"/>
        <w:right w:val="none" w:sz="0" w:space="0" w:color="auto"/>
      </w:divBdr>
    </w:div>
    <w:div w:id="1940990691">
      <w:bodyDiv w:val="1"/>
      <w:marLeft w:val="0"/>
      <w:marRight w:val="0"/>
      <w:marTop w:val="0"/>
      <w:marBottom w:val="0"/>
      <w:divBdr>
        <w:top w:val="none" w:sz="0" w:space="0" w:color="auto"/>
        <w:left w:val="none" w:sz="0" w:space="0" w:color="auto"/>
        <w:bottom w:val="none" w:sz="0" w:space="0" w:color="auto"/>
        <w:right w:val="none" w:sz="0" w:space="0" w:color="auto"/>
      </w:divBdr>
    </w:div>
    <w:div w:id="1952319981">
      <w:bodyDiv w:val="1"/>
      <w:marLeft w:val="0"/>
      <w:marRight w:val="0"/>
      <w:marTop w:val="0"/>
      <w:marBottom w:val="0"/>
      <w:divBdr>
        <w:top w:val="none" w:sz="0" w:space="0" w:color="auto"/>
        <w:left w:val="none" w:sz="0" w:space="0" w:color="auto"/>
        <w:bottom w:val="none" w:sz="0" w:space="0" w:color="auto"/>
        <w:right w:val="none" w:sz="0" w:space="0" w:color="auto"/>
      </w:divBdr>
    </w:div>
    <w:div w:id="2060668437">
      <w:bodyDiv w:val="1"/>
      <w:marLeft w:val="0"/>
      <w:marRight w:val="0"/>
      <w:marTop w:val="0"/>
      <w:marBottom w:val="0"/>
      <w:divBdr>
        <w:top w:val="none" w:sz="0" w:space="0" w:color="auto"/>
        <w:left w:val="none" w:sz="0" w:space="0" w:color="auto"/>
        <w:bottom w:val="none" w:sz="0" w:space="0" w:color="auto"/>
        <w:right w:val="none" w:sz="0" w:space="0" w:color="auto"/>
      </w:divBdr>
    </w:div>
    <w:div w:id="2074962159">
      <w:bodyDiv w:val="1"/>
      <w:marLeft w:val="0"/>
      <w:marRight w:val="0"/>
      <w:marTop w:val="0"/>
      <w:marBottom w:val="0"/>
      <w:divBdr>
        <w:top w:val="none" w:sz="0" w:space="0" w:color="auto"/>
        <w:left w:val="none" w:sz="0" w:space="0" w:color="auto"/>
        <w:bottom w:val="none" w:sz="0" w:space="0" w:color="auto"/>
        <w:right w:val="none" w:sz="0" w:space="0" w:color="auto"/>
      </w:divBdr>
    </w:div>
    <w:div w:id="2095007817">
      <w:bodyDiv w:val="1"/>
      <w:marLeft w:val="0"/>
      <w:marRight w:val="0"/>
      <w:marTop w:val="0"/>
      <w:marBottom w:val="0"/>
      <w:divBdr>
        <w:top w:val="none" w:sz="0" w:space="0" w:color="auto"/>
        <w:left w:val="none" w:sz="0" w:space="0" w:color="auto"/>
        <w:bottom w:val="none" w:sz="0" w:space="0" w:color="auto"/>
        <w:right w:val="none" w:sz="0" w:space="0" w:color="auto"/>
      </w:divBdr>
    </w:div>
    <w:div w:id="2113167077">
      <w:bodyDiv w:val="1"/>
      <w:marLeft w:val="0"/>
      <w:marRight w:val="0"/>
      <w:marTop w:val="0"/>
      <w:marBottom w:val="0"/>
      <w:divBdr>
        <w:top w:val="none" w:sz="0" w:space="0" w:color="auto"/>
        <w:left w:val="none" w:sz="0" w:space="0" w:color="auto"/>
        <w:bottom w:val="none" w:sz="0" w:space="0" w:color="auto"/>
        <w:right w:val="none" w:sz="0" w:space="0" w:color="auto"/>
      </w:divBdr>
    </w:div>
    <w:div w:id="2128428206">
      <w:bodyDiv w:val="1"/>
      <w:marLeft w:val="0"/>
      <w:marRight w:val="0"/>
      <w:marTop w:val="0"/>
      <w:marBottom w:val="0"/>
      <w:divBdr>
        <w:top w:val="none" w:sz="0" w:space="0" w:color="auto"/>
        <w:left w:val="none" w:sz="0" w:space="0" w:color="auto"/>
        <w:bottom w:val="none" w:sz="0" w:space="0" w:color="auto"/>
        <w:right w:val="none" w:sz="0" w:space="0" w:color="auto"/>
      </w:divBdr>
    </w:div>
    <w:div w:id="2129736911">
      <w:bodyDiv w:val="1"/>
      <w:marLeft w:val="0"/>
      <w:marRight w:val="0"/>
      <w:marTop w:val="0"/>
      <w:marBottom w:val="0"/>
      <w:divBdr>
        <w:top w:val="none" w:sz="0" w:space="0" w:color="auto"/>
        <w:left w:val="none" w:sz="0" w:space="0" w:color="auto"/>
        <w:bottom w:val="none" w:sz="0" w:space="0" w:color="auto"/>
        <w:right w:val="none" w:sz="0" w:space="0" w:color="auto"/>
      </w:divBdr>
    </w:div>
    <w:div w:id="2138915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28.emf"/><Relationship Id="rId21" Type="http://schemas.openxmlformats.org/officeDocument/2006/relationships/image" Target="media/image12.emf"/><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emf"/><Relationship Id="rId68" Type="http://schemas.openxmlformats.org/officeDocument/2006/relationships/image" Target="media/image55.jpeg"/><Relationship Id="rId76" Type="http://schemas.openxmlformats.org/officeDocument/2006/relationships/image" Target="media/image61.emf"/><Relationship Id="rId84" Type="http://schemas.openxmlformats.org/officeDocument/2006/relationships/image" Target="media/image69.jpeg"/><Relationship Id="rId89"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eader" Target="header7.xml"/><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74" Type="http://schemas.openxmlformats.org/officeDocument/2006/relationships/image" Target="media/image59.emf"/><Relationship Id="rId79" Type="http://schemas.openxmlformats.org/officeDocument/2006/relationships/image" Target="media/image64.emf"/><Relationship Id="rId87" Type="http://schemas.openxmlformats.org/officeDocument/2006/relationships/header" Target="header12.xml"/><Relationship Id="rId5" Type="http://schemas.openxmlformats.org/officeDocument/2006/relationships/webSettings" Target="webSettings.xml"/><Relationship Id="rId61" Type="http://schemas.openxmlformats.org/officeDocument/2006/relationships/image" Target="media/image48.emf"/><Relationship Id="rId82" Type="http://schemas.openxmlformats.org/officeDocument/2006/relationships/image" Target="media/image67.emf"/><Relationship Id="rId90" Type="http://schemas.openxmlformats.org/officeDocument/2006/relationships/header" Target="header14.xml"/><Relationship Id="rId19" Type="http://schemas.openxmlformats.org/officeDocument/2006/relationships/image" Target="media/image10.emf"/><Relationship Id="rId14" Type="http://schemas.openxmlformats.org/officeDocument/2006/relationships/header" Target="header2.xml"/><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header" Target="header4.xml"/><Relationship Id="rId35" Type="http://schemas.openxmlformats.org/officeDocument/2006/relationships/image" Target="media/image24.emf"/><Relationship Id="rId43" Type="http://schemas.openxmlformats.org/officeDocument/2006/relationships/image" Target="media/image32.jpeg"/><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header" Target="header8.xml"/><Relationship Id="rId77" Type="http://schemas.openxmlformats.org/officeDocument/2006/relationships/image" Target="media/image62.emf"/><Relationship Id="rId8" Type="http://schemas.openxmlformats.org/officeDocument/2006/relationships/image" Target="media/image1.png"/><Relationship Id="rId51" Type="http://schemas.openxmlformats.org/officeDocument/2006/relationships/image" Target="media/image38.emf"/><Relationship Id="rId72" Type="http://schemas.openxmlformats.org/officeDocument/2006/relationships/image" Target="media/image57.emf"/><Relationship Id="rId80" Type="http://schemas.openxmlformats.org/officeDocument/2006/relationships/image" Target="media/image65.emf"/><Relationship Id="rId85" Type="http://schemas.openxmlformats.org/officeDocument/2006/relationships/header" Target="header10.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3.emf"/><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1.emf"/><Relationship Id="rId41" Type="http://schemas.openxmlformats.org/officeDocument/2006/relationships/image" Target="media/image30.emf"/><Relationship Id="rId54" Type="http://schemas.openxmlformats.org/officeDocument/2006/relationships/image" Target="media/image41.jpeg"/><Relationship Id="rId62" Type="http://schemas.openxmlformats.org/officeDocument/2006/relationships/image" Target="media/image49.emf"/><Relationship Id="rId70" Type="http://schemas.openxmlformats.org/officeDocument/2006/relationships/header" Target="header9.xml"/><Relationship Id="rId75" Type="http://schemas.openxmlformats.org/officeDocument/2006/relationships/image" Target="media/image60.emf"/><Relationship Id="rId83" Type="http://schemas.openxmlformats.org/officeDocument/2006/relationships/image" Target="media/image68.emf"/><Relationship Id="rId88" Type="http://schemas.openxmlformats.org/officeDocument/2006/relationships/header" Target="header13.xml"/><Relationship Id="rId91"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5.emf"/><Relationship Id="rId49" Type="http://schemas.openxmlformats.org/officeDocument/2006/relationships/image" Target="media/image36.emf"/><Relationship Id="rId57" Type="http://schemas.openxmlformats.org/officeDocument/2006/relationships/image" Target="media/image44.emf"/><Relationship Id="rId10" Type="http://schemas.openxmlformats.org/officeDocument/2006/relationships/header" Target="header1.xml"/><Relationship Id="rId31" Type="http://schemas.openxmlformats.org/officeDocument/2006/relationships/header" Target="header5.xml"/><Relationship Id="rId44" Type="http://schemas.openxmlformats.org/officeDocument/2006/relationships/header" Target="header6.xml"/><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w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6.emf"/><Relationship Id="rId86"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heme1">
  <a:themeElements>
    <a:clrScheme name="PFC ENERGY Colors">
      <a:dk1>
        <a:srgbClr val="141313"/>
      </a:dk1>
      <a:lt1>
        <a:srgbClr val="FFFFFF"/>
      </a:lt1>
      <a:dk2>
        <a:srgbClr val="454645"/>
      </a:dk2>
      <a:lt2>
        <a:srgbClr val="E1E1DF"/>
      </a:lt2>
      <a:accent1>
        <a:srgbClr val="A41618"/>
      </a:accent1>
      <a:accent2>
        <a:srgbClr val="F3A11F"/>
      </a:accent2>
      <a:accent3>
        <a:srgbClr val="1B82CE"/>
      </a:accent3>
      <a:accent4>
        <a:srgbClr val="308D0B"/>
      </a:accent4>
      <a:accent5>
        <a:srgbClr val="095C99"/>
      </a:accent5>
      <a:accent6>
        <a:srgbClr val="80379B"/>
      </a:accent6>
      <a:hlink>
        <a:srgbClr val="0000FF"/>
      </a:hlink>
      <a:folHlink>
        <a:srgbClr val="FF660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61FEC6-FD7D-4966-AD2A-A5B96BA10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22794</Words>
  <Characters>126179</Characters>
  <Application>Microsoft Office Word</Application>
  <DocSecurity>0</DocSecurity>
  <Lines>1051</Lines>
  <Paragraphs>297</Paragraphs>
  <ScaleCrop>false</ScaleCrop>
  <HeadingPairs>
    <vt:vector size="2" baseType="variant">
      <vt:variant>
        <vt:lpstr>Title</vt:lpstr>
      </vt:variant>
      <vt:variant>
        <vt:i4>1</vt:i4>
      </vt:variant>
    </vt:vector>
  </HeadingPairs>
  <TitlesOfParts>
    <vt:vector size="1" baseType="lpstr">
      <vt:lpstr>Country:  Title Heading 1</vt:lpstr>
    </vt:vector>
  </TitlesOfParts>
  <Company>PFC Energy</Company>
  <LinksUpToDate>false</LinksUpToDate>
  <CharactersWithSpaces>148676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Country:  Title Heading 1</dc:title>
  <dc:creator>mrathbun</dc:creator>
  <cp:lastModifiedBy>J0214336</cp:lastModifiedBy>
  <cp:revision>2</cp:revision>
  <cp:lastPrinted>2013-06-10T14:29:00Z</cp:lastPrinted>
  <dcterms:created xsi:type="dcterms:W3CDTF">2013-07-05T15:42:00Z</dcterms:created>
  <dcterms:modified xsi:type="dcterms:W3CDTF">2013-07-05T15:42:00Z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otes: Comments on modifications">
    <vt:lpwstr>Changed PFC cities</vt:lpwstr>
  </property>
  <property fmtid="{D5CDD505-2E9C-101B-9397-08002B2CF9AE}" pid="3" name="Requested Changes">
    <vt:lpwstr/>
  </property>
  <property fmtid="{D5CDD505-2E9C-101B-9397-08002B2CF9AE}" pid="4" name="ContentType">
    <vt:lpwstr>Document</vt:lpwstr>
  </property>
  <property fmtid="{D5CDD505-2E9C-101B-9397-08002B2CF9AE}" pid="5" name="Subject">
    <vt:lpwstr/>
  </property>
  <property fmtid="{D5CDD505-2E9C-101B-9397-08002B2CF9AE}" pid="6" name="Keywords">
    <vt:lpwstr/>
  </property>
  <property fmtid="{D5CDD505-2E9C-101B-9397-08002B2CF9AE}" pid="7" name="_Author">
    <vt:lpwstr>mrathbun</vt:lpwstr>
  </property>
  <property fmtid="{D5CDD505-2E9C-101B-9397-08002B2CF9AE}" pid="8" name="_Category">
    <vt:lpwstr/>
  </property>
  <property fmtid="{D5CDD505-2E9C-101B-9397-08002B2CF9AE}" pid="9" name="Categories">
    <vt:lpwstr/>
  </property>
  <property fmtid="{D5CDD505-2E9C-101B-9397-08002B2CF9AE}" pid="10" name="Approval Level">
    <vt:lpwstr/>
  </property>
  <property fmtid="{D5CDD505-2E9C-101B-9397-08002B2CF9AE}" pid="11" name="_Comments">
    <vt:lpwstr/>
  </property>
  <property fmtid="{D5CDD505-2E9C-101B-9397-08002B2CF9AE}" pid="12" name="Assigned To">
    <vt:lpwstr/>
  </property>
  <property fmtid="{D5CDD505-2E9C-101B-9397-08002B2CF9AE}" pid="13" name="Checking by Marketing">
    <vt:lpwstr>Yes</vt:lpwstr>
  </property>
  <property fmtid="{D5CDD505-2E9C-101B-9397-08002B2CF9AE}" pid="14" name="Department">
    <vt:lpwstr>;#Markets &amp; Countries;#</vt:lpwstr>
  </property>
  <property fmtid="{D5CDD505-2E9C-101B-9397-08002B2CF9AE}" pid="15" name="ol_Department">
    <vt:lpwstr>Markets &amp; Countries</vt:lpwstr>
  </property>
  <property fmtid="{D5CDD505-2E9C-101B-9397-08002B2CF9AE}" pid="16" name="Order">
    <vt:lpwstr>1500.00000000000</vt:lpwstr>
  </property>
  <property fmtid="{D5CDD505-2E9C-101B-9397-08002B2CF9AE}" pid="17" name="New Covers">
    <vt:lpwstr>No need</vt:lpwstr>
  </property>
</Properties>
</file>